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FA0EC" w14:textId="55390EC8"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w:t>
      </w:r>
      <w:r w:rsidR="00D31C78">
        <w:rPr>
          <w:rFonts w:ascii="Arial" w:eastAsia="MS Mincho" w:hAnsi="Arial"/>
          <w:b/>
          <w:sz w:val="24"/>
          <w:szCs w:val="24"/>
          <w:lang w:val="en-US" w:eastAsia="x-none"/>
        </w:rPr>
        <w:t>7</w:t>
      </w:r>
      <w:r w:rsidRPr="00A943BB">
        <w:rPr>
          <w:rFonts w:ascii="Arial" w:eastAsia="MS Mincho" w:hAnsi="Arial"/>
          <w:b/>
          <w:sz w:val="24"/>
          <w:szCs w:val="24"/>
          <w:lang w:val="en-US" w:eastAsia="x-none"/>
        </w:rPr>
        <w:tab/>
      </w:r>
      <w:r w:rsidR="006D1F27" w:rsidRPr="006D1F27">
        <w:rPr>
          <w:rFonts w:ascii="Arial" w:eastAsia="MS Mincho" w:hAnsi="Arial"/>
          <w:b/>
          <w:sz w:val="24"/>
          <w:szCs w:val="24"/>
          <w:lang w:val="en-US" w:eastAsia="x-none"/>
        </w:rPr>
        <w:t>R2-2406246</w:t>
      </w:r>
    </w:p>
    <w:p w14:paraId="6E4D510D" w14:textId="1CCA04B1" w:rsidR="00A943BB" w:rsidRPr="00A943BB" w:rsidRDefault="00D31C78"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D31C78">
        <w:rPr>
          <w:rFonts w:ascii="Arial" w:eastAsia="MS Mincho" w:hAnsi="Arial"/>
          <w:b/>
          <w:sz w:val="24"/>
          <w:szCs w:val="24"/>
          <w:lang w:val="en-US" w:eastAsia="x-none"/>
        </w:rPr>
        <w:t xml:space="preserve">Maastricht, </w:t>
      </w:r>
      <w:r w:rsidR="009149E8" w:rsidRPr="009149E8">
        <w:rPr>
          <w:rFonts w:ascii="Arial" w:eastAsia="MS Mincho" w:hAnsi="Arial"/>
          <w:b/>
          <w:sz w:val="24"/>
          <w:szCs w:val="24"/>
          <w:lang w:val="en-US" w:eastAsia="x-none"/>
        </w:rPr>
        <w:t>Netherlands</w:t>
      </w:r>
      <w:r w:rsidRPr="00D31C78">
        <w:rPr>
          <w:rFonts w:ascii="Arial" w:eastAsia="MS Mincho" w:hAnsi="Arial"/>
          <w:b/>
          <w:sz w:val="24"/>
          <w:szCs w:val="24"/>
          <w:lang w:val="en-US" w:eastAsia="x-none"/>
        </w:rPr>
        <w:t>, Aug</w:t>
      </w:r>
      <w:r w:rsidR="009149E8">
        <w:rPr>
          <w:rFonts w:ascii="Arial" w:eastAsia="MS Mincho" w:hAnsi="Arial"/>
          <w:b/>
          <w:sz w:val="24"/>
          <w:szCs w:val="24"/>
          <w:lang w:val="en-US" w:eastAsia="x-none"/>
        </w:rPr>
        <w:t>ust</w:t>
      </w:r>
      <w:r w:rsidRPr="00D31C78">
        <w:rPr>
          <w:rFonts w:ascii="Arial" w:eastAsia="MS Mincho" w:hAnsi="Arial"/>
          <w:b/>
          <w:sz w:val="24"/>
          <w:szCs w:val="24"/>
          <w:lang w:val="en-US" w:eastAsia="x-none"/>
        </w:rPr>
        <w:t xml:space="preserve"> 19</w:t>
      </w:r>
      <w:r w:rsidRPr="00D31C78">
        <w:rPr>
          <w:rFonts w:ascii="Arial" w:eastAsia="MS Mincho" w:hAnsi="Arial"/>
          <w:b/>
          <w:sz w:val="24"/>
          <w:szCs w:val="24"/>
          <w:vertAlign w:val="superscript"/>
          <w:lang w:val="en-US" w:eastAsia="x-none"/>
        </w:rPr>
        <w:t>th</w:t>
      </w:r>
      <w:r w:rsidRPr="00D31C78">
        <w:rPr>
          <w:rFonts w:ascii="Arial" w:eastAsia="MS Mincho" w:hAnsi="Arial"/>
          <w:b/>
          <w:sz w:val="24"/>
          <w:szCs w:val="24"/>
          <w:lang w:val="en-US" w:eastAsia="x-none"/>
        </w:rPr>
        <w:t>– 23</w:t>
      </w:r>
      <w:r w:rsidRPr="00D31C78">
        <w:rPr>
          <w:rFonts w:ascii="Arial" w:eastAsia="MS Mincho" w:hAnsi="Arial"/>
          <w:b/>
          <w:sz w:val="24"/>
          <w:szCs w:val="24"/>
          <w:vertAlign w:val="superscript"/>
          <w:lang w:val="en-US" w:eastAsia="x-none"/>
        </w:rPr>
        <w:t>rd</w:t>
      </w:r>
      <w:r w:rsidRPr="00D31C78">
        <w:rPr>
          <w:rFonts w:ascii="Arial" w:eastAsia="MS Mincho" w:hAnsi="Arial"/>
          <w:b/>
          <w:sz w:val="24"/>
          <w:szCs w:val="24"/>
          <w:lang w:val="en-US" w:eastAsia="x-none"/>
        </w:rPr>
        <w:t>, 2024</w:t>
      </w:r>
    </w:p>
    <w:p w14:paraId="2B7D6F15" w14:textId="5090E2D8" w:rsidR="00137B81" w:rsidRDefault="00137B81" w:rsidP="00630DFA">
      <w:pPr>
        <w:tabs>
          <w:tab w:val="left" w:pos="1979"/>
        </w:tabs>
        <w:spacing w:afterLines="50" w:line="240" w:lineRule="atLeast"/>
        <w:jc w:val="left"/>
        <w:rPr>
          <w:rFonts w:ascii="Arial" w:hAnsi="Arial" w:cs="Arial"/>
          <w:b/>
          <w:bCs/>
          <w:sz w:val="24"/>
          <w:szCs w:val="24"/>
          <w:lang w:val="en-US" w:eastAsia="en-US"/>
        </w:rPr>
      </w:pPr>
    </w:p>
    <w:p w14:paraId="6C98447A" w14:textId="79AF0654"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943BB">
        <w:rPr>
          <w:rFonts w:ascii="Arial" w:hAnsi="Arial" w:cs="Arial" w:hint="eastAsia"/>
          <w:b/>
          <w:bCs/>
          <w:sz w:val="24"/>
          <w:szCs w:val="24"/>
          <w:lang w:val="en-US"/>
        </w:rPr>
        <w:t>8.8.</w:t>
      </w:r>
      <w:r w:rsidR="00770363">
        <w:rPr>
          <w:rFonts w:ascii="Arial" w:hAnsi="Arial" w:cs="Arial" w:hint="eastAsia"/>
          <w:b/>
          <w:bCs/>
          <w:sz w:val="24"/>
          <w:szCs w:val="24"/>
          <w:lang w:val="en-US"/>
        </w:rPr>
        <w:t>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7E72C28"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D31C78" w:rsidRPr="00D31C78">
        <w:rPr>
          <w:rFonts w:ascii="Arial" w:hAnsi="Arial" w:cs="Arial"/>
          <w:b/>
          <w:bCs/>
          <w:sz w:val="24"/>
          <w:szCs w:val="24"/>
          <w:lang w:val="en-US"/>
        </w:rPr>
        <w:t xml:space="preserve">Further Considerations on DL </w:t>
      </w:r>
      <w:r w:rsidR="00AF79EB">
        <w:rPr>
          <w:rFonts w:ascii="Arial" w:hAnsi="Arial" w:cs="Arial"/>
          <w:b/>
          <w:bCs/>
          <w:sz w:val="24"/>
          <w:szCs w:val="24"/>
          <w:lang w:val="en-US"/>
        </w:rPr>
        <w:t>C</w:t>
      </w:r>
      <w:r w:rsidR="00D31C78" w:rsidRPr="00D31C78">
        <w:rPr>
          <w:rFonts w:ascii="Arial" w:hAnsi="Arial" w:cs="Arial"/>
          <w:b/>
          <w:bCs/>
          <w:sz w:val="24"/>
          <w:szCs w:val="24"/>
          <w:lang w:val="en-US"/>
        </w:rPr>
        <w:t xml:space="preserve">overage </w:t>
      </w:r>
      <w:r w:rsidR="00AF79EB">
        <w:rPr>
          <w:rFonts w:ascii="Arial" w:hAnsi="Arial" w:cs="Arial"/>
          <w:b/>
          <w:bCs/>
          <w:sz w:val="24"/>
          <w:szCs w:val="24"/>
          <w:lang w:val="en-US"/>
        </w:rPr>
        <w:t>E</w:t>
      </w:r>
      <w:r w:rsidR="00D31C78" w:rsidRPr="00D31C78">
        <w:rPr>
          <w:rFonts w:ascii="Arial" w:hAnsi="Arial" w:cs="Arial"/>
          <w:b/>
          <w:bCs/>
          <w:sz w:val="24"/>
          <w:szCs w:val="24"/>
          <w:lang w:val="en-US"/>
        </w:rPr>
        <w:t xml:space="preserve">nhancements   </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836404F" w14:textId="66C1F45C" w:rsidR="007976F2" w:rsidRDefault="00505CF9" w:rsidP="00990EFF">
      <w:pPr>
        <w:pStyle w:val="1"/>
        <w:numPr>
          <w:ilvl w:val="0"/>
          <w:numId w:val="23"/>
        </w:numPr>
        <w:spacing w:after="120" w:line="240" w:lineRule="auto"/>
        <w:jc w:val="left"/>
      </w:pPr>
      <w:bookmarkStart w:id="0" w:name="_Ref165266342"/>
      <w:r w:rsidRPr="009674AC">
        <w:t>Introduction</w:t>
      </w:r>
      <w:bookmarkEnd w:id="0"/>
    </w:p>
    <w:p w14:paraId="6BC7313B" w14:textId="4EE7B7AC" w:rsidR="008E1235" w:rsidRDefault="007976F2" w:rsidP="00990EFF">
      <w:pPr>
        <w:spacing w:line="240" w:lineRule="auto"/>
      </w:pPr>
      <w:r>
        <w:t>In the updated NTN WID</w:t>
      </w:r>
      <w:r w:rsidR="006F5E44">
        <w:t xml:space="preserve"> </w:t>
      </w:r>
      <w:r>
        <w:t xml:space="preserve">[1], </w:t>
      </w:r>
      <w:r w:rsidR="00DD7DB4">
        <w:t xml:space="preserve">studying whether and how to </w:t>
      </w:r>
      <w:r>
        <w:t>exten</w:t>
      </w:r>
      <w:r w:rsidR="00DD7DB4">
        <w:t>d</w:t>
      </w:r>
      <w:r>
        <w:t xml:space="preserve"> the SSB periodicity is</w:t>
      </w:r>
      <w:r w:rsidR="00DD7DB4">
        <w:t xml:space="preserve"> added </w:t>
      </w:r>
      <w:r>
        <w:t xml:space="preserve">within the scope of the </w:t>
      </w:r>
      <w:r w:rsidR="00AF52AB">
        <w:t xml:space="preserve">NTN </w:t>
      </w:r>
      <w:r>
        <w:t>DL coverage enhancement</w:t>
      </w:r>
      <w:r w:rsidR="00F02574">
        <w:rPr>
          <w:rFonts w:hint="eastAsia"/>
        </w:rPr>
        <w:t>.</w:t>
      </w:r>
    </w:p>
    <w:tbl>
      <w:tblPr>
        <w:tblStyle w:val="af4"/>
        <w:tblW w:w="0" w:type="auto"/>
        <w:tblLook w:val="04A0" w:firstRow="1" w:lastRow="0" w:firstColumn="1" w:lastColumn="0" w:noHBand="0" w:noVBand="1"/>
      </w:tblPr>
      <w:tblGrid>
        <w:gridCol w:w="9629"/>
      </w:tblGrid>
      <w:tr w:rsidR="007976F2" w14:paraId="057801DA" w14:textId="77777777" w:rsidTr="00C31B53">
        <w:tc>
          <w:tcPr>
            <w:tcW w:w="9629" w:type="dxa"/>
          </w:tcPr>
          <w:p w14:paraId="706E64CB" w14:textId="77777777" w:rsidR="007976F2" w:rsidRPr="009431DD" w:rsidRDefault="007976F2" w:rsidP="00C31B53">
            <w:pPr>
              <w:numPr>
                <w:ilvl w:val="0"/>
                <w:numId w:val="19"/>
              </w:numPr>
              <w:spacing w:after="0" w:line="276" w:lineRule="auto"/>
              <w:jc w:val="left"/>
              <w:rPr>
                <w:rFonts w:eastAsia="Calibri"/>
                <w:lang w:val="en-US" w:eastAsia="ko-KR"/>
              </w:rPr>
            </w:pPr>
            <w:r w:rsidRPr="009431DD">
              <w:rPr>
                <w:rFonts w:eastAsia="Calibri"/>
                <w:lang w:val="en-US" w:eastAsia="ko-KR"/>
              </w:rPr>
              <w:t>Study and specify if beneficial downlink coverage enhancements targeting support for additional reference satellite payload parameters covering both GSO and NGSO constellations operating in FR1-NTN or FR2-NTN [RAN1, RAN2, RAN4]</w:t>
            </w:r>
          </w:p>
          <w:p w14:paraId="561DB203" w14:textId="77777777" w:rsidR="007976F2" w:rsidRPr="00F8147E" w:rsidRDefault="007976F2" w:rsidP="00C31B53">
            <w:pPr>
              <w:pStyle w:val="af8"/>
              <w:widowControl w:val="0"/>
              <w:numPr>
                <w:ilvl w:val="0"/>
                <w:numId w:val="16"/>
              </w:numPr>
              <w:spacing w:line="276" w:lineRule="auto"/>
              <w:ind w:firstLineChars="0"/>
              <w:contextualSpacing/>
              <w:jc w:val="both"/>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C42F714" w14:textId="77777777" w:rsidR="007976F2" w:rsidRPr="00F8147E" w:rsidRDefault="007976F2" w:rsidP="00C31B53">
            <w:pPr>
              <w:pStyle w:val="af8"/>
              <w:widowControl w:val="0"/>
              <w:numPr>
                <w:ilvl w:val="0"/>
                <w:numId w:val="16"/>
              </w:numPr>
              <w:spacing w:line="276" w:lineRule="auto"/>
              <w:ind w:firstLineChars="0"/>
              <w:contextualSpacing/>
              <w:jc w:val="both"/>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00D99E0" w14:textId="77777777" w:rsidR="007976F2" w:rsidRDefault="007976F2" w:rsidP="00C31B53">
            <w:pPr>
              <w:pStyle w:val="af8"/>
              <w:widowControl w:val="0"/>
              <w:numPr>
                <w:ilvl w:val="0"/>
                <w:numId w:val="16"/>
              </w:numPr>
              <w:spacing w:line="276" w:lineRule="auto"/>
              <w:ind w:firstLineChars="0"/>
              <w:contextualSpacing/>
              <w:jc w:val="both"/>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14:paraId="64D4F785" w14:textId="77777777" w:rsidR="007976F2" w:rsidRPr="00ED0963" w:rsidRDefault="007976F2" w:rsidP="00C31B53">
            <w:pPr>
              <w:pStyle w:val="af8"/>
              <w:widowControl w:val="0"/>
              <w:numPr>
                <w:ilvl w:val="1"/>
                <w:numId w:val="16"/>
              </w:numPr>
              <w:spacing w:line="276" w:lineRule="auto"/>
              <w:ind w:firstLineChars="0"/>
              <w:contextualSpacing/>
              <w:jc w:val="both"/>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14:paraId="59289EA7" w14:textId="77777777" w:rsidR="007976F2" w:rsidRPr="00ED0963" w:rsidRDefault="007976F2" w:rsidP="00C31B53">
            <w:pPr>
              <w:pStyle w:val="af8"/>
              <w:widowControl w:val="0"/>
              <w:numPr>
                <w:ilvl w:val="1"/>
                <w:numId w:val="16"/>
              </w:numPr>
              <w:spacing w:line="276" w:lineRule="auto"/>
              <w:ind w:firstLineChars="0"/>
              <w:contextualSpacing/>
              <w:jc w:val="both"/>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14:paraId="065B57BF" w14:textId="77777777" w:rsidR="007976F2" w:rsidRPr="003F3481" w:rsidRDefault="007976F2" w:rsidP="00C31B53">
            <w:pPr>
              <w:pStyle w:val="af8"/>
              <w:widowControl w:val="0"/>
              <w:numPr>
                <w:ilvl w:val="0"/>
                <w:numId w:val="16"/>
              </w:numPr>
              <w:spacing w:line="276" w:lineRule="auto"/>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7941DD26" w14:textId="77777777" w:rsidR="007976F2" w:rsidRPr="0096319F" w:rsidRDefault="007976F2" w:rsidP="00C31B53">
            <w:pPr>
              <w:pStyle w:val="af8"/>
              <w:widowControl w:val="0"/>
              <w:numPr>
                <w:ilvl w:val="1"/>
                <w:numId w:val="16"/>
              </w:numPr>
              <w:spacing w:line="276" w:lineRule="auto"/>
              <w:ind w:firstLineChars="0"/>
              <w:contextualSpacing/>
              <w:jc w:val="both"/>
              <w:rPr>
                <w:sz w:val="20"/>
                <w:szCs w:val="20"/>
                <w:highlight w:val="yellow"/>
              </w:rPr>
            </w:pPr>
            <w:r w:rsidRPr="0096319F">
              <w:rPr>
                <w:sz w:val="20"/>
                <w:szCs w:val="20"/>
                <w:highlight w:val="yellow"/>
              </w:rPr>
              <w:t>SSB channel enhancement other than SSB periodicity extension is not considered</w:t>
            </w:r>
          </w:p>
          <w:p w14:paraId="6ECE05CB" w14:textId="77777777" w:rsidR="007976F2" w:rsidRPr="0096319F" w:rsidRDefault="007976F2" w:rsidP="00C31B53">
            <w:pPr>
              <w:pStyle w:val="af8"/>
              <w:widowControl w:val="0"/>
              <w:numPr>
                <w:ilvl w:val="2"/>
                <w:numId w:val="16"/>
              </w:numPr>
              <w:spacing w:line="276" w:lineRule="auto"/>
              <w:ind w:firstLineChars="0"/>
              <w:contextualSpacing/>
              <w:jc w:val="both"/>
              <w:rPr>
                <w:sz w:val="20"/>
                <w:szCs w:val="20"/>
                <w:highlight w:val="yellow"/>
              </w:rPr>
            </w:pPr>
            <w:r w:rsidRPr="0096319F">
              <w:rPr>
                <w:sz w:val="20"/>
                <w:szCs w:val="20"/>
                <w:highlight w:val="yellow"/>
              </w:rPr>
              <w:t>RAN1 should consider issues such as UE’s cell search complexity and impact to initial cell selection, latency and success rate, for the above extension</w:t>
            </w:r>
          </w:p>
          <w:p w14:paraId="70C13AD9" w14:textId="77777777" w:rsidR="007976F2" w:rsidRPr="0096319F" w:rsidRDefault="007976F2" w:rsidP="00C31B53">
            <w:pPr>
              <w:pStyle w:val="af8"/>
              <w:widowControl w:val="0"/>
              <w:numPr>
                <w:ilvl w:val="1"/>
                <w:numId w:val="16"/>
              </w:numPr>
              <w:spacing w:line="276" w:lineRule="auto"/>
              <w:ind w:firstLineChars="0"/>
              <w:contextualSpacing/>
              <w:jc w:val="both"/>
              <w:rPr>
                <w:sz w:val="20"/>
                <w:szCs w:val="20"/>
                <w:highlight w:val="yellow"/>
              </w:rPr>
            </w:pPr>
            <w:r w:rsidRPr="0096319F">
              <w:rPr>
                <w:sz w:val="20"/>
                <w:szCs w:val="20"/>
                <w:highlight w:val="yellow"/>
              </w:rPr>
              <w:t>The SSB periodicity enhancements potentially defined in this WID only apply to NTN operation</w:t>
            </w:r>
          </w:p>
          <w:p w14:paraId="3FFB8BA5" w14:textId="77777777" w:rsidR="007976F2" w:rsidRPr="00F8147E" w:rsidRDefault="007976F2" w:rsidP="00C31B53">
            <w:pPr>
              <w:pStyle w:val="af8"/>
              <w:widowControl w:val="0"/>
              <w:numPr>
                <w:ilvl w:val="1"/>
                <w:numId w:val="16"/>
              </w:numPr>
              <w:spacing w:line="276" w:lineRule="auto"/>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302919AD" w14:textId="77777777" w:rsidR="007976F2" w:rsidRDefault="007976F2" w:rsidP="00C31B53">
            <w:pPr>
              <w:pStyle w:val="af8"/>
              <w:widowControl w:val="0"/>
              <w:numPr>
                <w:ilvl w:val="1"/>
                <w:numId w:val="16"/>
              </w:numPr>
              <w:spacing w:line="276" w:lineRule="auto"/>
              <w:ind w:firstLineChars="0"/>
              <w:contextualSpacing/>
              <w:jc w:val="both"/>
              <w:rPr>
                <w:sz w:val="20"/>
                <w:szCs w:val="20"/>
              </w:rPr>
            </w:pPr>
            <w:r w:rsidRPr="00F8147E">
              <w:rPr>
                <w:sz w:val="20"/>
                <w:szCs w:val="20"/>
              </w:rPr>
              <w:t>NGSO to be considered in priority: LEO Set-1 @ 600 km</w:t>
            </w:r>
          </w:p>
          <w:p w14:paraId="33CAC86E" w14:textId="77777777" w:rsidR="007976F2" w:rsidRPr="0096319F" w:rsidRDefault="007976F2" w:rsidP="00C31B53">
            <w:pPr>
              <w:pStyle w:val="af8"/>
              <w:widowControl w:val="0"/>
              <w:numPr>
                <w:ilvl w:val="1"/>
                <w:numId w:val="16"/>
              </w:numPr>
              <w:spacing w:line="276" w:lineRule="auto"/>
              <w:ind w:firstLineChars="0"/>
              <w:contextualSpacing/>
              <w:jc w:val="both"/>
              <w:rPr>
                <w:sz w:val="20"/>
                <w:szCs w:val="20"/>
              </w:rPr>
            </w:pPr>
            <w:r w:rsidRPr="00D91AC5">
              <w:rPr>
                <w:sz w:val="20"/>
                <w:szCs w:val="20"/>
              </w:rPr>
              <w:t>Rel-18 network energy saving techniques should be considered as baseline in the system level study</w:t>
            </w:r>
          </w:p>
        </w:tc>
      </w:tr>
    </w:tbl>
    <w:p w14:paraId="447EB16E" w14:textId="72B6D2C9" w:rsidR="00382ED0" w:rsidRDefault="00081AD1" w:rsidP="004D7A49">
      <w:pPr>
        <w:spacing w:beforeLines="50" w:before="120" w:line="240" w:lineRule="auto"/>
      </w:pPr>
      <w:r>
        <w:t>Therefore, i</w:t>
      </w:r>
      <w:r w:rsidR="001E2B74">
        <w:t>n this contribution, we would like to</w:t>
      </w:r>
      <w:r w:rsidR="00223152">
        <w:t xml:space="preserve"> </w:t>
      </w:r>
      <w:r w:rsidR="008208C7">
        <w:t xml:space="preserve">first discuss our consideration on the extension of the SSB periodicity from </w:t>
      </w:r>
      <w:r w:rsidR="00182397">
        <w:t xml:space="preserve">the </w:t>
      </w:r>
      <w:r w:rsidR="008208C7">
        <w:t>RAN2 spec point of view. And also share our consideration on the support of cell/beam level DTX mechanism.</w:t>
      </w:r>
      <w:r w:rsidR="00D80A12">
        <w:t xml:space="preserve">in NR-NTN </w:t>
      </w:r>
      <w:r w:rsidR="008208C7">
        <w:t xml:space="preserve">network </w:t>
      </w:r>
      <w:r w:rsidR="00D80A12">
        <w:t xml:space="preserve">with </w:t>
      </w:r>
      <w:r w:rsidR="00D80A12" w:rsidRPr="00D80A12">
        <w:t>dynamic power sharing</w:t>
      </w:r>
      <w:r w:rsidR="00B553F8">
        <w:t xml:space="preserve">. </w:t>
      </w:r>
      <w:r w:rsidR="00D80A12" w:rsidRPr="00D80A12">
        <w:t xml:space="preserve"> </w:t>
      </w:r>
    </w:p>
    <w:p w14:paraId="2ED8D285" w14:textId="177B8B6E" w:rsidR="006C4DA2" w:rsidRDefault="006C4DA2" w:rsidP="002C5B6C">
      <w:pPr>
        <w:pStyle w:val="1"/>
        <w:numPr>
          <w:ilvl w:val="0"/>
          <w:numId w:val="22"/>
        </w:numPr>
        <w:spacing w:after="120" w:line="240" w:lineRule="auto"/>
        <w:jc w:val="left"/>
      </w:pPr>
      <w:r>
        <w:t>Discussion</w:t>
      </w:r>
    </w:p>
    <w:p w14:paraId="2564C3F2" w14:textId="71595F60" w:rsidR="002C719F" w:rsidRPr="000345AB" w:rsidRDefault="002C719F" w:rsidP="002C719F">
      <w:pPr>
        <w:pStyle w:val="2"/>
        <w:numPr>
          <w:ilvl w:val="1"/>
          <w:numId w:val="0"/>
        </w:numPr>
        <w:tabs>
          <w:tab w:val="num" w:pos="576"/>
        </w:tabs>
        <w:spacing w:before="120" w:after="120" w:line="240" w:lineRule="auto"/>
        <w:ind w:left="578" w:hanging="578"/>
        <w:rPr>
          <w:szCs w:val="24"/>
        </w:rPr>
      </w:pPr>
      <w:r w:rsidRPr="000345AB">
        <w:rPr>
          <w:szCs w:val="24"/>
        </w:rPr>
        <w:t>2.1</w:t>
      </w:r>
      <w:r w:rsidRPr="000345AB">
        <w:rPr>
          <w:szCs w:val="24"/>
        </w:rPr>
        <w:tab/>
        <w:t>Potential RAN2 impact due to SSB periodicity extension</w:t>
      </w:r>
    </w:p>
    <w:p w14:paraId="1981A59C" w14:textId="59457E6B" w:rsidR="002F1AA4" w:rsidRPr="002F1AA4" w:rsidRDefault="009631F6" w:rsidP="00550B7C">
      <w:pPr>
        <w:spacing w:line="240" w:lineRule="auto"/>
      </w:pPr>
      <w:r>
        <w:t xml:space="preserve">To support the dynamic power sharing in the NR-NTN network </w:t>
      </w:r>
      <w:r>
        <w:rPr>
          <w:rFonts w:hint="eastAsia"/>
        </w:rPr>
        <w:t xml:space="preserve">with </w:t>
      </w:r>
      <w:r>
        <w:t xml:space="preserve">beam hopping, the SSB </w:t>
      </w:r>
      <w:r w:rsidR="002F1AA4">
        <w:t xml:space="preserve">periodicity </w:t>
      </w:r>
      <w:r>
        <w:t>may be extended. As a result,</w:t>
      </w:r>
      <w:r w:rsidR="001D4BC5">
        <w:t xml:space="preserve"> </w:t>
      </w:r>
      <w:r>
        <w:t>there might be potential RAN2 spec impacts, as described in the following part</w:t>
      </w:r>
      <w:r w:rsidR="001D4BC5">
        <w:t xml:space="preserve">. </w:t>
      </w:r>
    </w:p>
    <w:p w14:paraId="3BEB74D3" w14:textId="5129C7A4" w:rsidR="00685EAC" w:rsidRDefault="00916910" w:rsidP="004D7A49">
      <w:pPr>
        <w:spacing w:line="240" w:lineRule="auto"/>
      </w:pPr>
      <w:r>
        <w:lastRenderedPageBreak/>
        <w:t>According to the TS</w:t>
      </w:r>
      <w:r w:rsidR="00E476A0">
        <w:t xml:space="preserve"> </w:t>
      </w:r>
      <w:r>
        <w:t>38.213</w:t>
      </w:r>
      <w:r w:rsidR="00CF3513">
        <w:t xml:space="preserve"> </w:t>
      </w:r>
      <w:r>
        <w:t xml:space="preserve">[2], </w:t>
      </w:r>
      <w:r w:rsidR="00BC0634">
        <w:t>UE in IDLE/INACTIVE state will consider the half frames with SSB occur with a periodicity of 20ms</w:t>
      </w:r>
      <w:r w:rsidR="00572D84">
        <w:t xml:space="preserve">, and it is up to NW to ensure the periodicity of the SSB burst for the cell supporting broadcasting is not larger than 20ms. </w:t>
      </w:r>
      <w:r w:rsidR="00685EAC">
        <w:t xml:space="preserve">Besides, during initial cell selection, UE does not have any cell information. </w:t>
      </w:r>
      <w:r w:rsidR="00685EAC">
        <w:rPr>
          <w:rFonts w:hint="eastAsia"/>
        </w:rPr>
        <w:t>I</w:t>
      </w:r>
      <w:r w:rsidR="00572D84">
        <w:t xml:space="preserve">f we extend the SSB periodicity, </w:t>
      </w:r>
      <w:r w:rsidR="006B3FEF">
        <w:t xml:space="preserve">the legacy UE may not </w:t>
      </w:r>
      <w:r w:rsidR="00AD5A5C">
        <w:t>successfull</w:t>
      </w:r>
      <w:r w:rsidR="00FA2AE9">
        <w:t>y</w:t>
      </w:r>
      <w:r w:rsidR="00AD5A5C">
        <w:t xml:space="preserve"> </w:t>
      </w:r>
      <w:r w:rsidR="006B3FEF">
        <w:t xml:space="preserve">camp on the cell, </w:t>
      </w:r>
      <w:r w:rsidR="00572D84">
        <w:t>e.g.,</w:t>
      </w:r>
      <w:r w:rsidR="006B3FEF">
        <w:t xml:space="preserve"> </w:t>
      </w:r>
      <w:r w:rsidR="00F41BC5">
        <w:t>among initial cell selection</w:t>
      </w:r>
      <w:r w:rsidR="007420C4">
        <w:t xml:space="preserve">. Specifically, the </w:t>
      </w:r>
      <w:r w:rsidR="00F41BC5">
        <w:t xml:space="preserve">legacy UE </w:t>
      </w:r>
      <w:r w:rsidR="00AD4440">
        <w:t>blindly search</w:t>
      </w:r>
      <w:r w:rsidR="007420C4">
        <w:t>es</w:t>
      </w:r>
      <w:r w:rsidR="00AD4440">
        <w:t xml:space="preserve"> SSB with 20ms search duration in </w:t>
      </w:r>
      <w:r w:rsidR="007420C4">
        <w:t xml:space="preserve">the </w:t>
      </w:r>
      <w:r w:rsidR="00AD4440">
        <w:t xml:space="preserve">time domain </w:t>
      </w:r>
      <w:r w:rsidR="007420C4">
        <w:t>based on</w:t>
      </w:r>
      <w:r w:rsidR="00B34DF7">
        <w:t xml:space="preserve"> sync raster</w:t>
      </w:r>
      <w:r w:rsidR="00B34DF7" w:rsidRPr="00B34DF7">
        <w:t xml:space="preserve"> </w:t>
      </w:r>
      <w:r w:rsidR="00B34DF7">
        <w:t xml:space="preserve">in </w:t>
      </w:r>
      <w:r w:rsidR="00AD4440">
        <w:t>the</w:t>
      </w:r>
      <w:r w:rsidR="00B34DF7">
        <w:t xml:space="preserve"> </w:t>
      </w:r>
      <w:r w:rsidR="00AD4440">
        <w:t>frequency band</w:t>
      </w:r>
      <w:r w:rsidR="007420C4">
        <w:t xml:space="preserve">. However, </w:t>
      </w:r>
      <w:r w:rsidR="006B3FEF">
        <w:t xml:space="preserve">within </w:t>
      </w:r>
      <w:r w:rsidR="00F41BC5">
        <w:t xml:space="preserve">the </w:t>
      </w:r>
      <w:r w:rsidR="007420C4">
        <w:t xml:space="preserve">search duration, </w:t>
      </w:r>
      <w:r w:rsidR="006B3FEF">
        <w:t xml:space="preserve">there may </w:t>
      </w:r>
      <w:r w:rsidR="00F41BC5">
        <w:t xml:space="preserve">be </w:t>
      </w:r>
      <w:r w:rsidR="006B3FEF">
        <w:t xml:space="preserve">not </w:t>
      </w:r>
      <w:r w:rsidR="00F41BC5">
        <w:t xml:space="preserve">any </w:t>
      </w:r>
      <w:r w:rsidR="006B3FEF">
        <w:t xml:space="preserve">SSB bursts </w:t>
      </w:r>
      <w:r w:rsidR="00B11B90">
        <w:t>transmitted</w:t>
      </w:r>
      <w:r w:rsidR="006B3FEF">
        <w:t xml:space="preserve"> </w:t>
      </w:r>
      <w:r w:rsidR="007420C4">
        <w:t xml:space="preserve">if </w:t>
      </w:r>
      <w:r w:rsidR="00F41BC5">
        <w:t>the cell transmit</w:t>
      </w:r>
      <w:r w:rsidR="007420C4">
        <w:t>s</w:t>
      </w:r>
      <w:r w:rsidR="00F41BC5">
        <w:t xml:space="preserve"> the SSB in a periodicity larger than 20ms</w:t>
      </w:r>
      <w:r w:rsidR="00572D84">
        <w:t xml:space="preserve">. </w:t>
      </w:r>
    </w:p>
    <w:tbl>
      <w:tblPr>
        <w:tblStyle w:val="af4"/>
        <w:tblW w:w="0" w:type="auto"/>
        <w:tblLook w:val="04A0" w:firstRow="1" w:lastRow="0" w:firstColumn="1" w:lastColumn="0" w:noHBand="0" w:noVBand="1"/>
      </w:tblPr>
      <w:tblGrid>
        <w:gridCol w:w="9629"/>
      </w:tblGrid>
      <w:tr w:rsidR="00D15A3C" w14:paraId="26426659" w14:textId="77777777" w:rsidTr="00D15A3C">
        <w:tc>
          <w:tcPr>
            <w:tcW w:w="9629" w:type="dxa"/>
          </w:tcPr>
          <w:p w14:paraId="0BE8BC1A" w14:textId="77777777" w:rsidR="00D15A3C" w:rsidRDefault="00D15A3C" w:rsidP="00D15A3C">
            <w:pPr>
              <w:pStyle w:val="2"/>
              <w:numPr>
                <w:ilvl w:val="0"/>
                <w:numId w:val="0"/>
              </w:numPr>
              <w:tabs>
                <w:tab w:val="clear" w:pos="852"/>
                <w:tab w:val="left" w:pos="375"/>
              </w:tabs>
            </w:pPr>
            <w:bookmarkStart w:id="1" w:name="_Toc12021439"/>
            <w:bookmarkStart w:id="2" w:name="_Toc20311551"/>
            <w:bookmarkStart w:id="3" w:name="_Toc26719376"/>
            <w:bookmarkStart w:id="4" w:name="_Toc29894807"/>
            <w:bookmarkStart w:id="5" w:name="_Toc29899106"/>
            <w:bookmarkStart w:id="6" w:name="_Toc29899524"/>
            <w:bookmarkStart w:id="7" w:name="_Toc29917261"/>
            <w:bookmarkStart w:id="8" w:name="_Toc36498135"/>
            <w:bookmarkStart w:id="9" w:name="_Toc45699161"/>
            <w:bookmarkStart w:id="10" w:name="_Toc161999086"/>
            <w:r>
              <w:t>4.1</w:t>
            </w:r>
            <w:r>
              <w:tab/>
              <w:t>Cell search</w:t>
            </w:r>
            <w:bookmarkEnd w:id="1"/>
            <w:bookmarkEnd w:id="2"/>
            <w:bookmarkEnd w:id="3"/>
            <w:bookmarkEnd w:id="4"/>
            <w:bookmarkEnd w:id="5"/>
            <w:bookmarkEnd w:id="6"/>
            <w:bookmarkEnd w:id="7"/>
            <w:bookmarkEnd w:id="8"/>
            <w:bookmarkEnd w:id="9"/>
            <w:bookmarkEnd w:id="10"/>
          </w:p>
          <w:p w14:paraId="7A84F3C1" w14:textId="77777777" w:rsidR="00D15A3C" w:rsidRPr="0094310E" w:rsidRDefault="00D15A3C" w:rsidP="00D15A3C">
            <w:r>
              <w:t xml:space="preserve">Cell search is the procedure for a UE to acquire time and frequency synchronization with a cell and to detect the </w:t>
            </w:r>
            <w:r w:rsidRPr="0094310E">
              <w:t xml:space="preserve">physical layer Cell ID of the cell. </w:t>
            </w:r>
          </w:p>
          <w:p w14:paraId="598829CC" w14:textId="77777777" w:rsidR="00D15A3C" w:rsidRDefault="00D15A3C" w:rsidP="00D15A3C">
            <w:pPr>
              <w:spacing w:after="160" w:line="256" w:lineRule="auto"/>
            </w:pPr>
            <w:r>
              <w:t>……S</w:t>
            </w:r>
            <w:r>
              <w:rPr>
                <w:rFonts w:hint="eastAsia"/>
              </w:rPr>
              <w:t>kip</w:t>
            </w:r>
            <w:r>
              <w:t xml:space="preserve"> unrelated part……</w:t>
            </w:r>
          </w:p>
          <w:p w14:paraId="6A56FD5A" w14:textId="57B86C85" w:rsidR="00D15A3C" w:rsidRDefault="00D15A3C" w:rsidP="00D15A3C">
            <w:pPr>
              <w:spacing w:line="240" w:lineRule="auto"/>
            </w:pPr>
            <w:r w:rsidRPr="0094310E">
              <w:rPr>
                <w:highlight w:val="yellow"/>
              </w:rPr>
              <w:t>For initial cell selection, a UE may assume that half frames with SS/PBCH blocks occur with a periodicity of 2 frames.</w:t>
            </w:r>
          </w:p>
        </w:tc>
      </w:tr>
    </w:tbl>
    <w:p w14:paraId="6842B387" w14:textId="726FD63A" w:rsidR="00685EAC" w:rsidRDefault="00685EAC" w:rsidP="00D15A3C">
      <w:pPr>
        <w:spacing w:before="120" w:line="240" w:lineRule="auto"/>
      </w:pPr>
      <w:r>
        <w:t xml:space="preserve">Further, even R19 UE can search the SSB </w:t>
      </w:r>
      <w:r w:rsidR="00637DF4">
        <w:t xml:space="preserve">with a </w:t>
      </w:r>
      <w:r>
        <w:t>larger SSB periodicity</w:t>
      </w:r>
      <w:r w:rsidR="00637DF4">
        <w:t xml:space="preserve"> assumption</w:t>
      </w:r>
      <w:r>
        <w:t xml:space="preserve">, </w:t>
      </w:r>
      <w:r w:rsidR="0094375D">
        <w:t xml:space="preserve">with doubt, </w:t>
      </w:r>
      <w:r>
        <w:t xml:space="preserve">more UE power </w:t>
      </w:r>
      <w:r w:rsidR="0094375D">
        <w:t xml:space="preserve">consumption </w:t>
      </w:r>
      <w:r>
        <w:t>and</w:t>
      </w:r>
      <w:r w:rsidR="0094375D">
        <w:t xml:space="preserve"> larger</w:t>
      </w:r>
      <w:r>
        <w:t xml:space="preserve"> latency </w:t>
      </w:r>
      <w:r w:rsidR="0094375D">
        <w:t xml:space="preserve">are needed </w:t>
      </w:r>
      <w:r>
        <w:t xml:space="preserve">to find the initial cell since UE </w:t>
      </w:r>
      <w:r w:rsidR="0094375D">
        <w:t xml:space="preserve">has </w:t>
      </w:r>
      <w:r>
        <w:t>to search the SSB in 160ms search</w:t>
      </w:r>
      <w:r w:rsidR="00550B7C">
        <w:t xml:space="preserve"> duration</w:t>
      </w:r>
      <w:r>
        <w:t xml:space="preserve"> in each possible frequency location in the frequency band.</w:t>
      </w:r>
    </w:p>
    <w:p w14:paraId="3CC9413C" w14:textId="3C4B61F0" w:rsidR="006C34F4" w:rsidRPr="00685EAC" w:rsidRDefault="00685EAC" w:rsidP="004D7A49">
      <w:pPr>
        <w:spacing w:line="240" w:lineRule="auto"/>
        <w:rPr>
          <w:b/>
          <w:bCs/>
        </w:rPr>
      </w:pPr>
      <w:r w:rsidRPr="00685EAC">
        <w:rPr>
          <w:b/>
          <w:bCs/>
        </w:rPr>
        <w:t xml:space="preserve">Observation 1: </w:t>
      </w:r>
      <w:r>
        <w:rPr>
          <w:b/>
          <w:bCs/>
        </w:rPr>
        <w:t xml:space="preserve">Extending the SSB periodicity may be non-backward </w:t>
      </w:r>
      <w:r w:rsidR="00B11B90">
        <w:rPr>
          <w:b/>
          <w:bCs/>
        </w:rPr>
        <w:t>compatible</w:t>
      </w:r>
      <w:r>
        <w:rPr>
          <w:b/>
          <w:bCs/>
        </w:rPr>
        <w:t xml:space="preserve"> for legacy UE</w:t>
      </w:r>
      <w:r w:rsidR="006C34F4">
        <w:rPr>
          <w:b/>
          <w:bCs/>
        </w:rPr>
        <w:t>, and it lead</w:t>
      </w:r>
      <w:r w:rsidR="00550B7C">
        <w:rPr>
          <w:b/>
          <w:bCs/>
        </w:rPr>
        <w:t>s</w:t>
      </w:r>
      <w:r w:rsidR="006C34F4">
        <w:rPr>
          <w:b/>
          <w:bCs/>
        </w:rPr>
        <w:t xml:space="preserve"> to </w:t>
      </w:r>
      <w:r w:rsidR="002F1AA4">
        <w:rPr>
          <w:b/>
          <w:bCs/>
        </w:rPr>
        <w:t xml:space="preserve">more </w:t>
      </w:r>
      <w:r w:rsidR="006C34F4">
        <w:rPr>
          <w:b/>
          <w:bCs/>
        </w:rPr>
        <w:t xml:space="preserve">UE power consumption and initial cell </w:t>
      </w:r>
      <w:r w:rsidR="005D2431">
        <w:rPr>
          <w:b/>
          <w:bCs/>
        </w:rPr>
        <w:t xml:space="preserve">search </w:t>
      </w:r>
      <w:r w:rsidR="006C34F4">
        <w:rPr>
          <w:b/>
          <w:bCs/>
        </w:rPr>
        <w:t xml:space="preserve">latency. </w:t>
      </w:r>
    </w:p>
    <w:p w14:paraId="396DC5BB" w14:textId="0A20A79D" w:rsidR="00685EAC" w:rsidRDefault="00F50685" w:rsidP="004D7A49">
      <w:pPr>
        <w:spacing w:line="240" w:lineRule="auto"/>
      </w:pPr>
      <w:r>
        <w:t xml:space="preserve">Besides, extending the SSB periodicity may also </w:t>
      </w:r>
      <w:r w:rsidR="00202330">
        <w:t xml:space="preserve">have </w:t>
      </w:r>
      <w:r>
        <w:t>impacts on the RLM/BFD</w:t>
      </w:r>
      <w:r w:rsidR="00202330">
        <w:t>. Fo</w:t>
      </w:r>
      <w:r w:rsidR="00513BBE">
        <w:t>r</w:t>
      </w:r>
      <w:r w:rsidR="00202330">
        <w:t xml:space="preserve"> example,</w:t>
      </w:r>
      <w:r>
        <w:t xml:space="preserve"> if the radio link </w:t>
      </w:r>
      <w:r w:rsidR="00513BBE">
        <w:t>condition becomes poor during the SSB transmission interval</w:t>
      </w:r>
      <w:r>
        <w:t xml:space="preserve">, </w:t>
      </w:r>
      <w:r w:rsidR="00513BBE">
        <w:t xml:space="preserve">the UE cannot detect the poor radio condition since </w:t>
      </w:r>
      <w:r>
        <w:t xml:space="preserve">there is no available SSB </w:t>
      </w:r>
      <w:r w:rsidR="00513BBE">
        <w:t xml:space="preserve">that </w:t>
      </w:r>
      <w:r>
        <w:t>can be measured</w:t>
      </w:r>
      <w:r w:rsidR="00513BBE">
        <w:t xml:space="preserve">. Consequently, </w:t>
      </w:r>
      <w:r w:rsidR="00E642DE">
        <w:t>the RLM/BFD will also not be triggered</w:t>
      </w:r>
      <w:r w:rsidR="00513BBE">
        <w:t xml:space="preserve"> in time</w:t>
      </w:r>
      <w:r w:rsidR="00E642DE">
        <w:t xml:space="preserve">. And UE may still transmit data in this case, which may cause unnecessary data transmission or radio resource </w:t>
      </w:r>
      <w:r w:rsidR="00B11B90">
        <w:t>consumption</w:t>
      </w:r>
      <w:r w:rsidR="00E642DE">
        <w:t xml:space="preserve"> since it is very </w:t>
      </w:r>
      <w:r w:rsidR="00513BBE">
        <w:t xml:space="preserve">probable </w:t>
      </w:r>
      <w:r w:rsidR="00E642DE">
        <w:t>the transmission will not succeed.</w:t>
      </w:r>
    </w:p>
    <w:p w14:paraId="7CEB0905" w14:textId="130149B6" w:rsidR="00E642DE" w:rsidRPr="00685EAC" w:rsidRDefault="00E642DE" w:rsidP="00E642DE">
      <w:pPr>
        <w:spacing w:line="240" w:lineRule="auto"/>
        <w:rPr>
          <w:b/>
          <w:bCs/>
        </w:rPr>
      </w:pPr>
      <w:r w:rsidRPr="00685EAC">
        <w:rPr>
          <w:b/>
          <w:bCs/>
        </w:rPr>
        <w:t xml:space="preserve">Observation </w:t>
      </w:r>
      <w:r>
        <w:rPr>
          <w:b/>
          <w:bCs/>
        </w:rPr>
        <w:t>2</w:t>
      </w:r>
      <w:r w:rsidRPr="00685EAC">
        <w:rPr>
          <w:b/>
          <w:bCs/>
        </w:rPr>
        <w:t xml:space="preserve">: </w:t>
      </w:r>
      <w:r>
        <w:rPr>
          <w:b/>
          <w:bCs/>
        </w:rPr>
        <w:t xml:space="preserve">Extending the SSB periodicity may </w:t>
      </w:r>
      <w:r w:rsidR="00CB1B02">
        <w:rPr>
          <w:b/>
          <w:bCs/>
        </w:rPr>
        <w:t xml:space="preserve">have </w:t>
      </w:r>
      <w:r>
        <w:rPr>
          <w:b/>
          <w:bCs/>
        </w:rPr>
        <w:t>impacts on RLM/BFD detection</w:t>
      </w:r>
      <w:r w:rsidR="00712057">
        <w:rPr>
          <w:b/>
          <w:bCs/>
        </w:rPr>
        <w:t xml:space="preserve">, since the UE may not determine the RLF/beam failure in time. </w:t>
      </w:r>
    </w:p>
    <w:p w14:paraId="4D393B88" w14:textId="064EA334" w:rsidR="001D4BC5" w:rsidRDefault="001318A4" w:rsidP="004D7A49">
      <w:pPr>
        <w:spacing w:line="240" w:lineRule="auto"/>
      </w:pPr>
      <w:r>
        <w:t>Regarding the RRM measurement</w:t>
      </w:r>
      <w:r w:rsidRPr="001318A4">
        <w:t>,</w:t>
      </w:r>
      <w:r>
        <w:t xml:space="preserve"> </w:t>
      </w:r>
      <w:r w:rsidR="00733611">
        <w:t xml:space="preserve">whether the extended SSB periodicity has impacts on the measurement accuracy requirements is up to RAN4. However, according to </w:t>
      </w:r>
      <w:r w:rsidR="00032276">
        <w:t>TS38.331</w:t>
      </w:r>
      <w:r w:rsidR="00733611">
        <w:t xml:space="preserve"> [3], the SMTC configuration</w:t>
      </w:r>
      <w:r w:rsidR="00760794">
        <w:t xml:space="preserve"> </w:t>
      </w:r>
      <w:r w:rsidR="003962AC">
        <w:t xml:space="preserve">and the SSB periodicity configuration for RRC_CONNECTED UE is not enough </w:t>
      </w:r>
      <w:r w:rsidR="00733611">
        <w:t>if RAN1 decide</w:t>
      </w:r>
      <w:r w:rsidR="001A1D05">
        <w:t>s</w:t>
      </w:r>
      <w:r w:rsidR="00733611">
        <w:t xml:space="preserve"> to support SSB periodicity larger than 160ms</w:t>
      </w:r>
      <w:r w:rsidR="003962AC">
        <w:t>, since the maximum value range is 160ms now</w:t>
      </w:r>
      <w:r w:rsidR="00733611">
        <w:t>.</w:t>
      </w:r>
      <w:r w:rsidR="00760794">
        <w:t xml:space="preserve"> </w:t>
      </w:r>
    </w:p>
    <w:tbl>
      <w:tblPr>
        <w:tblStyle w:val="af4"/>
        <w:tblW w:w="0" w:type="auto"/>
        <w:tblLook w:val="04A0" w:firstRow="1" w:lastRow="0" w:firstColumn="1" w:lastColumn="0" w:noHBand="0" w:noVBand="1"/>
      </w:tblPr>
      <w:tblGrid>
        <w:gridCol w:w="9629"/>
      </w:tblGrid>
      <w:tr w:rsidR="00C33437" w14:paraId="60FCCDF4" w14:textId="77777777" w:rsidTr="00C33437">
        <w:tc>
          <w:tcPr>
            <w:tcW w:w="9629" w:type="dxa"/>
          </w:tcPr>
          <w:p w14:paraId="5D75F204" w14:textId="77777777" w:rsidR="00C33437" w:rsidRPr="00E450AC" w:rsidRDefault="00C33437" w:rsidP="00C33437">
            <w:pPr>
              <w:pStyle w:val="PL"/>
              <w:rPr>
                <w:color w:val="808080"/>
              </w:rPr>
            </w:pPr>
            <w:r w:rsidRPr="00E450AC">
              <w:rPr>
                <w:color w:val="808080"/>
              </w:rPr>
              <w:t>-- ASN1START</w:t>
            </w:r>
          </w:p>
          <w:p w14:paraId="10D25E45" w14:textId="77777777" w:rsidR="00C33437" w:rsidRPr="00E450AC" w:rsidRDefault="00C33437" w:rsidP="00C33437">
            <w:pPr>
              <w:pStyle w:val="PL"/>
              <w:rPr>
                <w:color w:val="808080"/>
              </w:rPr>
            </w:pPr>
            <w:r w:rsidRPr="00E450AC">
              <w:rPr>
                <w:color w:val="808080"/>
              </w:rPr>
              <w:t>-- TAG-SSB-MTC-START</w:t>
            </w:r>
          </w:p>
          <w:p w14:paraId="7177363C" w14:textId="77777777" w:rsidR="00C33437" w:rsidRPr="00E450AC" w:rsidRDefault="00C33437" w:rsidP="00C33437">
            <w:pPr>
              <w:pStyle w:val="PL"/>
            </w:pPr>
          </w:p>
          <w:p w14:paraId="05688C58" w14:textId="77777777" w:rsidR="00C33437" w:rsidRPr="00E450AC" w:rsidRDefault="00C33437" w:rsidP="00C33437">
            <w:pPr>
              <w:pStyle w:val="PL"/>
            </w:pPr>
            <w:r w:rsidRPr="00E450AC">
              <w:t>SSB-</w:t>
            </w:r>
            <w:proofErr w:type="gramStart"/>
            <w:r w:rsidRPr="00E450AC">
              <w:t>MTC ::=</w:t>
            </w:r>
            <w:proofErr w:type="gramEnd"/>
            <w:r w:rsidRPr="00E450AC">
              <w:t xml:space="preserve">                             </w:t>
            </w:r>
            <w:r w:rsidRPr="00E450AC">
              <w:rPr>
                <w:color w:val="993366"/>
              </w:rPr>
              <w:t>SEQUENCE</w:t>
            </w:r>
            <w:r w:rsidRPr="00E450AC">
              <w:t xml:space="preserve"> {</w:t>
            </w:r>
          </w:p>
          <w:p w14:paraId="16DCB8DB" w14:textId="77777777" w:rsidR="00C33437" w:rsidRPr="00E450AC" w:rsidRDefault="00C33437" w:rsidP="00C33437">
            <w:pPr>
              <w:pStyle w:val="PL"/>
            </w:pPr>
            <w:r w:rsidRPr="00E450AC">
              <w:t xml:space="preserve">    periodicityAndOffset                    </w:t>
            </w:r>
            <w:r w:rsidRPr="00E450AC">
              <w:rPr>
                <w:color w:val="993366"/>
              </w:rPr>
              <w:t>CHOICE</w:t>
            </w:r>
            <w:r w:rsidRPr="00E450AC">
              <w:t xml:space="preserve"> {</w:t>
            </w:r>
          </w:p>
          <w:p w14:paraId="2CAC5578" w14:textId="77777777" w:rsidR="00C33437" w:rsidRPr="00E450AC" w:rsidRDefault="00C33437" w:rsidP="00C33437">
            <w:pPr>
              <w:pStyle w:val="PL"/>
            </w:pPr>
            <w:r w:rsidRPr="00E450AC">
              <w:t xml:space="preserve">        sf5                                 </w:t>
            </w:r>
            <w:r w:rsidRPr="00E450AC">
              <w:rPr>
                <w:color w:val="993366"/>
              </w:rPr>
              <w:t>INTEGER</w:t>
            </w:r>
            <w:r w:rsidRPr="00E450AC">
              <w:t xml:space="preserve"> (</w:t>
            </w:r>
            <w:proofErr w:type="gramStart"/>
            <w:r w:rsidRPr="00E450AC">
              <w:t>0..</w:t>
            </w:r>
            <w:proofErr w:type="gramEnd"/>
            <w:r w:rsidRPr="00E450AC">
              <w:t>4),</w:t>
            </w:r>
          </w:p>
          <w:p w14:paraId="6A57A100" w14:textId="77777777" w:rsidR="00C33437" w:rsidRPr="00E450AC" w:rsidRDefault="00C33437" w:rsidP="00C33437">
            <w:pPr>
              <w:pStyle w:val="PL"/>
            </w:pPr>
            <w:r w:rsidRPr="00E450AC">
              <w:t xml:space="preserve">        sf10                                    </w:t>
            </w:r>
            <w:r w:rsidRPr="00E450AC">
              <w:rPr>
                <w:color w:val="993366"/>
              </w:rPr>
              <w:t>INTEGER</w:t>
            </w:r>
            <w:r w:rsidRPr="00E450AC">
              <w:t xml:space="preserve"> (</w:t>
            </w:r>
            <w:proofErr w:type="gramStart"/>
            <w:r w:rsidRPr="00E450AC">
              <w:t>0..</w:t>
            </w:r>
            <w:proofErr w:type="gramEnd"/>
            <w:r w:rsidRPr="00E450AC">
              <w:t>9),</w:t>
            </w:r>
          </w:p>
          <w:p w14:paraId="3EC876FC" w14:textId="77777777" w:rsidR="00C33437" w:rsidRPr="00E450AC" w:rsidRDefault="00C33437" w:rsidP="00C33437">
            <w:pPr>
              <w:pStyle w:val="PL"/>
            </w:pPr>
            <w:r w:rsidRPr="00E450AC">
              <w:t xml:space="preserve">        sf20                                    </w:t>
            </w:r>
            <w:r w:rsidRPr="00E450AC">
              <w:rPr>
                <w:color w:val="993366"/>
              </w:rPr>
              <w:t>INTEGER</w:t>
            </w:r>
            <w:r w:rsidRPr="00E450AC">
              <w:t xml:space="preserve"> (</w:t>
            </w:r>
            <w:proofErr w:type="gramStart"/>
            <w:r w:rsidRPr="00E450AC">
              <w:t>0..</w:t>
            </w:r>
            <w:proofErr w:type="gramEnd"/>
            <w:r w:rsidRPr="00E450AC">
              <w:t>19),</w:t>
            </w:r>
          </w:p>
          <w:p w14:paraId="2B89704C" w14:textId="77777777" w:rsidR="00C33437" w:rsidRPr="00E450AC" w:rsidRDefault="00C33437" w:rsidP="00C33437">
            <w:pPr>
              <w:pStyle w:val="PL"/>
            </w:pPr>
            <w:r w:rsidRPr="00E450AC">
              <w:t xml:space="preserve">        sf40                                    </w:t>
            </w:r>
            <w:r w:rsidRPr="00E450AC">
              <w:rPr>
                <w:color w:val="993366"/>
              </w:rPr>
              <w:t>INTEGER</w:t>
            </w:r>
            <w:r w:rsidRPr="00E450AC">
              <w:t xml:space="preserve"> (</w:t>
            </w:r>
            <w:proofErr w:type="gramStart"/>
            <w:r w:rsidRPr="00E450AC">
              <w:t>0..</w:t>
            </w:r>
            <w:proofErr w:type="gramEnd"/>
            <w:r w:rsidRPr="00E450AC">
              <w:t>39),</w:t>
            </w:r>
          </w:p>
          <w:p w14:paraId="52A5E9C7" w14:textId="77777777" w:rsidR="00C33437" w:rsidRPr="00E450AC" w:rsidRDefault="00C33437" w:rsidP="00C33437">
            <w:pPr>
              <w:pStyle w:val="PL"/>
            </w:pPr>
            <w:r w:rsidRPr="00E450AC">
              <w:t xml:space="preserve">        sf80                                    </w:t>
            </w:r>
            <w:r w:rsidRPr="00E450AC">
              <w:rPr>
                <w:color w:val="993366"/>
              </w:rPr>
              <w:t>INTEGER</w:t>
            </w:r>
            <w:r w:rsidRPr="00E450AC">
              <w:t xml:space="preserve"> (</w:t>
            </w:r>
            <w:proofErr w:type="gramStart"/>
            <w:r w:rsidRPr="00E450AC">
              <w:t>0..</w:t>
            </w:r>
            <w:proofErr w:type="gramEnd"/>
            <w:r w:rsidRPr="00E450AC">
              <w:t>79),</w:t>
            </w:r>
          </w:p>
          <w:p w14:paraId="42064CC9" w14:textId="77777777" w:rsidR="00C33437" w:rsidRPr="00E450AC" w:rsidRDefault="00C33437" w:rsidP="00C33437">
            <w:pPr>
              <w:pStyle w:val="PL"/>
            </w:pPr>
            <w:r w:rsidRPr="00E450AC">
              <w:t xml:space="preserve">        </w:t>
            </w:r>
            <w:r w:rsidRPr="00C33437">
              <w:rPr>
                <w:highlight w:val="yellow"/>
              </w:rPr>
              <w:t xml:space="preserve">sf160                                   </w:t>
            </w:r>
            <w:r w:rsidRPr="00C33437">
              <w:rPr>
                <w:color w:val="993366"/>
                <w:highlight w:val="yellow"/>
              </w:rPr>
              <w:t>INTEGER</w:t>
            </w:r>
            <w:r w:rsidRPr="00C33437">
              <w:rPr>
                <w:highlight w:val="yellow"/>
              </w:rPr>
              <w:t xml:space="preserve"> (</w:t>
            </w:r>
            <w:proofErr w:type="gramStart"/>
            <w:r w:rsidRPr="00C33437">
              <w:rPr>
                <w:highlight w:val="yellow"/>
              </w:rPr>
              <w:t>0..</w:t>
            </w:r>
            <w:proofErr w:type="gramEnd"/>
            <w:r w:rsidRPr="00C33437">
              <w:rPr>
                <w:highlight w:val="yellow"/>
              </w:rPr>
              <w:t>159)</w:t>
            </w:r>
          </w:p>
          <w:p w14:paraId="06BC9E87" w14:textId="77777777" w:rsidR="00C33437" w:rsidRPr="00E450AC" w:rsidRDefault="00C33437" w:rsidP="00C33437">
            <w:pPr>
              <w:pStyle w:val="PL"/>
            </w:pPr>
            <w:r w:rsidRPr="00E450AC">
              <w:t xml:space="preserve">    },</w:t>
            </w:r>
          </w:p>
          <w:p w14:paraId="0D1A5CEA" w14:textId="77777777" w:rsidR="00C33437" w:rsidRPr="00E450AC" w:rsidRDefault="00C33437" w:rsidP="00C33437">
            <w:pPr>
              <w:pStyle w:val="PL"/>
            </w:pPr>
            <w:r w:rsidRPr="00E450AC">
              <w:t xml:space="preserve">    duration                                </w:t>
            </w:r>
            <w:r w:rsidRPr="00E450AC">
              <w:rPr>
                <w:color w:val="993366"/>
              </w:rPr>
              <w:t>ENUMERATED</w:t>
            </w:r>
            <w:r w:rsidRPr="00E450AC">
              <w:t xml:space="preserve"> </w:t>
            </w:r>
            <w:proofErr w:type="gramStart"/>
            <w:r w:rsidRPr="00E450AC">
              <w:t>{ sf</w:t>
            </w:r>
            <w:proofErr w:type="gramEnd"/>
            <w:r w:rsidRPr="00E450AC">
              <w:t>1, sf2, sf3, sf4, sf5 }</w:t>
            </w:r>
          </w:p>
          <w:p w14:paraId="2782D39C" w14:textId="31E1F6D6" w:rsidR="00C33437" w:rsidRDefault="00C33437" w:rsidP="001A1D05">
            <w:pPr>
              <w:pStyle w:val="PL"/>
            </w:pPr>
            <w:r w:rsidRPr="00E450AC">
              <w:t>}</w:t>
            </w:r>
          </w:p>
        </w:tc>
      </w:tr>
    </w:tbl>
    <w:p w14:paraId="350762A6" w14:textId="60CE2369" w:rsidR="00D138C3" w:rsidRDefault="00D138C3" w:rsidP="001A1D05">
      <w:pPr>
        <w:spacing w:after="0" w:line="240" w:lineRule="auto"/>
      </w:pPr>
    </w:p>
    <w:tbl>
      <w:tblPr>
        <w:tblStyle w:val="af4"/>
        <w:tblW w:w="0" w:type="auto"/>
        <w:tblLook w:val="04A0" w:firstRow="1" w:lastRow="0" w:firstColumn="1" w:lastColumn="0" w:noHBand="0" w:noVBand="1"/>
      </w:tblPr>
      <w:tblGrid>
        <w:gridCol w:w="9629"/>
      </w:tblGrid>
      <w:tr w:rsidR="00D138C3" w14:paraId="603B8CB3" w14:textId="77777777" w:rsidTr="00D138C3">
        <w:tc>
          <w:tcPr>
            <w:tcW w:w="9629" w:type="dxa"/>
          </w:tcPr>
          <w:p w14:paraId="34815235" w14:textId="300EEC5D" w:rsidR="00D138C3" w:rsidRDefault="00817114" w:rsidP="00817114">
            <w:pPr>
              <w:pStyle w:val="PL"/>
            </w:pPr>
            <w:r w:rsidRPr="00817114">
              <w:t xml:space="preserve">ssb-periodicityServingCell          ENUMERATED </w:t>
            </w:r>
            <w:proofErr w:type="gramStart"/>
            <w:r w:rsidRPr="00817114">
              <w:t>{ ms</w:t>
            </w:r>
            <w:proofErr w:type="gramEnd"/>
            <w:r w:rsidRPr="00817114">
              <w:t xml:space="preserve">5, ms10, ms20, ms40, ms80, </w:t>
            </w:r>
            <w:r w:rsidRPr="00817114">
              <w:rPr>
                <w:highlight w:val="yellow"/>
              </w:rPr>
              <w:t>ms160</w:t>
            </w:r>
            <w:r w:rsidRPr="00817114">
              <w:t xml:space="preserve">, spare2, spare1 }  </w:t>
            </w:r>
          </w:p>
        </w:tc>
      </w:tr>
    </w:tbl>
    <w:p w14:paraId="433B9BA0" w14:textId="77777777" w:rsidR="00D138C3" w:rsidRDefault="00D138C3" w:rsidP="001A1D05">
      <w:pPr>
        <w:spacing w:after="0" w:line="240" w:lineRule="auto"/>
      </w:pPr>
    </w:p>
    <w:p w14:paraId="0C75C014" w14:textId="0267DE65" w:rsidR="00760794" w:rsidRDefault="00760794" w:rsidP="004D7A49">
      <w:pPr>
        <w:spacing w:line="240" w:lineRule="auto"/>
      </w:pPr>
      <w:r>
        <w:t>Similarly, the issue also exists for the periodicity of the SIB1</w:t>
      </w:r>
      <w:r w:rsidR="003962AC">
        <w:t>, since the</w:t>
      </w:r>
      <w:r w:rsidR="001A1D05">
        <w:t xml:space="preserve"> </w:t>
      </w:r>
      <w:r w:rsidR="001A1D05">
        <w:rPr>
          <w:rFonts w:hint="eastAsia"/>
        </w:rPr>
        <w:t>current</w:t>
      </w:r>
      <w:r w:rsidR="001A1D05">
        <w:t>ly</w:t>
      </w:r>
      <w:r w:rsidR="003962AC">
        <w:t xml:space="preserve"> specified value is 160ms. </w:t>
      </w:r>
    </w:p>
    <w:tbl>
      <w:tblPr>
        <w:tblStyle w:val="af4"/>
        <w:tblW w:w="0" w:type="auto"/>
        <w:tblLook w:val="04A0" w:firstRow="1" w:lastRow="0" w:firstColumn="1" w:lastColumn="0" w:noHBand="0" w:noVBand="1"/>
      </w:tblPr>
      <w:tblGrid>
        <w:gridCol w:w="9629"/>
      </w:tblGrid>
      <w:tr w:rsidR="00C33437" w14:paraId="5125543E" w14:textId="77777777" w:rsidTr="00C33437">
        <w:tc>
          <w:tcPr>
            <w:tcW w:w="9629" w:type="dxa"/>
          </w:tcPr>
          <w:p w14:paraId="474F881B" w14:textId="411085B1" w:rsidR="00C33437" w:rsidRDefault="00C33437" w:rsidP="00C33437">
            <w:pPr>
              <w:pStyle w:val="B1"/>
            </w:pPr>
            <w:r w:rsidRPr="002D3917">
              <w:t>-</w:t>
            </w:r>
            <w:r w:rsidRPr="002D3917">
              <w:tab/>
            </w:r>
            <w:r w:rsidRPr="003962AC">
              <w:rPr>
                <w:highlight w:val="yellow"/>
              </w:rPr>
              <w:t xml:space="preserve">the </w:t>
            </w:r>
            <w:r w:rsidRPr="003962AC">
              <w:rPr>
                <w:i/>
                <w:highlight w:val="yellow"/>
              </w:rPr>
              <w:t>SIB1</w:t>
            </w:r>
            <w:r w:rsidRPr="003962AC">
              <w:rPr>
                <w:highlight w:val="yellow"/>
              </w:rPr>
              <w:t xml:space="preserve"> is transmitted on the DL-SCH with a periodicity of 160 ms</w:t>
            </w:r>
            <w:r w:rsidRPr="002D3917">
              <w:t xml:space="preserve"> and variable transmission repetition periodicity within 160 ms as specified in TS 38.213 [13], clause 13. The default transmission repetition periodicity of </w:t>
            </w:r>
            <w:r w:rsidRPr="002D3917">
              <w:rPr>
                <w:i/>
              </w:rPr>
              <w:t>SIB1</w:t>
            </w:r>
            <w:r w:rsidRPr="002D3917">
              <w:t xml:space="preserve"> is 20 ms but the actual transmission repetition periodicity is up to network implementation. For SSB and CORESET multiplexing pattern 1, </w:t>
            </w:r>
            <w:r w:rsidRPr="002D3917">
              <w:rPr>
                <w:i/>
              </w:rPr>
              <w:t>SIB1</w:t>
            </w:r>
            <w:r w:rsidRPr="002D3917">
              <w:t xml:space="preserve"> repetition transmission period is 20 ms. For SSB and CORESET multiplexing pattern 2/3, </w:t>
            </w:r>
            <w:r w:rsidRPr="002D3917">
              <w:rPr>
                <w:i/>
              </w:rPr>
              <w:t>SIB1</w:t>
            </w:r>
            <w:r w:rsidRPr="002D3917">
              <w:t xml:space="preserve"> transmission repetition period is the same as the SSB period (TS 38.213 [13], clause 13). </w:t>
            </w:r>
            <w:r w:rsidRPr="002D3917">
              <w:rPr>
                <w:i/>
              </w:rPr>
              <w:t>SIB1</w:t>
            </w:r>
            <w:r w:rsidRPr="002D3917">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2D3917">
              <w:rPr>
                <w:i/>
              </w:rPr>
              <w:t>SIB1</w:t>
            </w:r>
            <w:r w:rsidRPr="002D3917">
              <w:t xml:space="preserve"> is cell-specific SIB;</w:t>
            </w:r>
          </w:p>
        </w:tc>
      </w:tr>
    </w:tbl>
    <w:p w14:paraId="01E8A7E8" w14:textId="7E06BB78" w:rsidR="003962AC" w:rsidRPr="00685EAC" w:rsidRDefault="003962AC" w:rsidP="000345AB">
      <w:pPr>
        <w:spacing w:before="120" w:after="240" w:line="240" w:lineRule="auto"/>
        <w:rPr>
          <w:b/>
          <w:bCs/>
        </w:rPr>
      </w:pPr>
      <w:r w:rsidRPr="00685EAC">
        <w:rPr>
          <w:b/>
          <w:bCs/>
        </w:rPr>
        <w:lastRenderedPageBreak/>
        <w:t xml:space="preserve">Observation </w:t>
      </w:r>
      <w:r>
        <w:rPr>
          <w:b/>
          <w:bCs/>
        </w:rPr>
        <w:t>3</w:t>
      </w:r>
      <w:r w:rsidRPr="00685EAC">
        <w:rPr>
          <w:b/>
          <w:bCs/>
        </w:rPr>
        <w:t xml:space="preserve">: </w:t>
      </w:r>
      <w:r>
        <w:rPr>
          <w:b/>
          <w:bCs/>
        </w:rPr>
        <w:t xml:space="preserve">The current </w:t>
      </w:r>
      <w:r w:rsidR="00817114">
        <w:rPr>
          <w:b/>
          <w:bCs/>
        </w:rPr>
        <w:t xml:space="preserve">value </w:t>
      </w:r>
      <w:r w:rsidR="001A1D05">
        <w:rPr>
          <w:b/>
          <w:bCs/>
        </w:rPr>
        <w:t xml:space="preserve">range </w:t>
      </w:r>
      <w:r w:rsidR="00817114">
        <w:rPr>
          <w:b/>
          <w:bCs/>
        </w:rPr>
        <w:t xml:space="preserve">of the </w:t>
      </w:r>
      <w:r w:rsidR="001A1D05">
        <w:rPr>
          <w:b/>
          <w:bCs/>
        </w:rPr>
        <w:t xml:space="preserve">SMTC </w:t>
      </w:r>
      <w:r>
        <w:rPr>
          <w:b/>
          <w:bCs/>
        </w:rPr>
        <w:t>periodicity and offset</w:t>
      </w:r>
      <w:r w:rsidR="00817114">
        <w:rPr>
          <w:b/>
          <w:bCs/>
        </w:rPr>
        <w:t xml:space="preserve">, the </w:t>
      </w:r>
      <w:r w:rsidR="001A1D05">
        <w:rPr>
          <w:b/>
          <w:bCs/>
        </w:rPr>
        <w:t xml:space="preserve">service cell SSB </w:t>
      </w:r>
      <w:r w:rsidR="00817114">
        <w:rPr>
          <w:b/>
          <w:bCs/>
        </w:rPr>
        <w:t xml:space="preserve">periodicity, </w:t>
      </w:r>
      <w:r w:rsidR="001A1D05">
        <w:rPr>
          <w:b/>
          <w:bCs/>
        </w:rPr>
        <w:t xml:space="preserve">and </w:t>
      </w:r>
      <w:r w:rsidR="00817114">
        <w:rPr>
          <w:b/>
          <w:bCs/>
        </w:rPr>
        <w:t xml:space="preserve">the periodicity of the SIB1 </w:t>
      </w:r>
      <w:r w:rsidR="001A1D05">
        <w:rPr>
          <w:b/>
          <w:bCs/>
        </w:rPr>
        <w:t>requires new</w:t>
      </w:r>
      <w:r w:rsidR="00EE409D">
        <w:rPr>
          <w:b/>
          <w:bCs/>
        </w:rPr>
        <w:t xml:space="preserve"> </w:t>
      </w:r>
      <w:r w:rsidR="001A1D05">
        <w:rPr>
          <w:b/>
          <w:bCs/>
        </w:rPr>
        <w:t>signalling</w:t>
      </w:r>
      <w:r>
        <w:rPr>
          <w:b/>
          <w:bCs/>
        </w:rPr>
        <w:t xml:space="preserve"> if the extended SSB periodicity is larger than 160ms.</w:t>
      </w:r>
    </w:p>
    <w:p w14:paraId="5DD2C8E0" w14:textId="2689D3B2" w:rsidR="003E4E1B" w:rsidRPr="00A522A1" w:rsidRDefault="00AC777B" w:rsidP="003E4E1B">
      <w:pPr>
        <w:spacing w:line="240" w:lineRule="auto"/>
      </w:pPr>
      <w:r w:rsidRPr="00A522A1">
        <w:rPr>
          <w:rFonts w:hint="eastAsia"/>
        </w:rPr>
        <w:t>A</w:t>
      </w:r>
      <w:r w:rsidRPr="00A522A1">
        <w:t xml:space="preserve">lthough some potentiaal RAN2 impacts can be identified for </w:t>
      </w:r>
      <w:r w:rsidRPr="00A522A1">
        <w:rPr>
          <w:bCs/>
        </w:rPr>
        <w:t>SSB periodicity extenstion, we think</w:t>
      </w:r>
      <w:r w:rsidRPr="00A522A1">
        <w:t xml:space="preserve"> whether and how to extend the SSB periodicity in R19 is totally up to RAN1</w:t>
      </w:r>
      <w:r w:rsidR="00E12F44" w:rsidRPr="00A522A1">
        <w:t xml:space="preserve">. RAN2 </w:t>
      </w:r>
      <w:r w:rsidR="002B6121">
        <w:t>should postpone</w:t>
      </w:r>
      <w:r w:rsidR="003E4E1B" w:rsidRPr="00A522A1">
        <w:t xml:space="preserve"> </w:t>
      </w:r>
      <w:r w:rsidR="00E12F44" w:rsidRPr="00A522A1">
        <w:t>further study</w:t>
      </w:r>
      <w:r w:rsidR="002B6121">
        <w:t>ing</w:t>
      </w:r>
      <w:r w:rsidR="00E12F44" w:rsidRPr="00A522A1">
        <w:t xml:space="preserve"> pote</w:t>
      </w:r>
      <w:r w:rsidR="002B6121">
        <w:t>n</w:t>
      </w:r>
      <w:r w:rsidR="00E12F44" w:rsidRPr="00A522A1">
        <w:t>tial im</w:t>
      </w:r>
      <w:r w:rsidR="003E4E1B" w:rsidRPr="00A522A1">
        <w:t xml:space="preserve">pacts and </w:t>
      </w:r>
      <w:r w:rsidR="002B6121">
        <w:t xml:space="preserve">just </w:t>
      </w:r>
      <w:r w:rsidR="00E12F44" w:rsidRPr="00A522A1">
        <w:t>wait for final RAN1 decision.</w:t>
      </w:r>
    </w:p>
    <w:p w14:paraId="3437D4BA" w14:textId="46ED4FF5" w:rsidR="003E4E1B" w:rsidRDefault="0020483F" w:rsidP="002B6121">
      <w:pPr>
        <w:spacing w:line="240" w:lineRule="auto"/>
        <w:rPr>
          <w:b/>
          <w:bCs/>
        </w:rPr>
      </w:pPr>
      <w:r w:rsidRPr="00160841">
        <w:rPr>
          <w:rFonts w:hint="eastAsia"/>
          <w:b/>
          <w:bCs/>
        </w:rPr>
        <w:t>P</w:t>
      </w:r>
      <w:r w:rsidRPr="00160841">
        <w:rPr>
          <w:b/>
          <w:bCs/>
        </w:rPr>
        <w:t xml:space="preserve">roposal 1: </w:t>
      </w:r>
      <w:r w:rsidR="00B11B90">
        <w:rPr>
          <w:b/>
          <w:bCs/>
        </w:rPr>
        <w:t>Whether</w:t>
      </w:r>
      <w:r w:rsidR="007C0EB8">
        <w:rPr>
          <w:b/>
          <w:bCs/>
        </w:rPr>
        <w:t xml:space="preserve"> and h</w:t>
      </w:r>
      <w:r w:rsidR="005C7090">
        <w:rPr>
          <w:b/>
          <w:bCs/>
        </w:rPr>
        <w:t>ow</w:t>
      </w:r>
      <w:r w:rsidR="00F66A8A">
        <w:rPr>
          <w:b/>
          <w:bCs/>
        </w:rPr>
        <w:t xml:space="preserve"> </w:t>
      </w:r>
      <w:r w:rsidR="003E4E1B">
        <w:rPr>
          <w:b/>
          <w:bCs/>
        </w:rPr>
        <w:t xml:space="preserve">to extend the SSB periodicity </w:t>
      </w:r>
      <w:r w:rsidR="008E2209">
        <w:rPr>
          <w:b/>
          <w:bCs/>
        </w:rPr>
        <w:t xml:space="preserve">is up to </w:t>
      </w:r>
      <w:r w:rsidR="005A735C">
        <w:rPr>
          <w:b/>
          <w:bCs/>
        </w:rPr>
        <w:t xml:space="preserve">the </w:t>
      </w:r>
      <w:r w:rsidR="008E2209">
        <w:rPr>
          <w:b/>
          <w:bCs/>
        </w:rPr>
        <w:t>RAN1 decision.</w:t>
      </w:r>
    </w:p>
    <w:p w14:paraId="204DCC48" w14:textId="156E252E" w:rsidR="006B6727" w:rsidRDefault="006B6727" w:rsidP="00674353">
      <w:pPr>
        <w:spacing w:after="240" w:line="240" w:lineRule="auto"/>
        <w:rPr>
          <w:b/>
          <w:bCs/>
        </w:rPr>
      </w:pPr>
      <w:r>
        <w:rPr>
          <w:b/>
          <w:bCs/>
        </w:rPr>
        <w:t>Proposal 2: RAN2 postpone</w:t>
      </w:r>
      <w:r w:rsidR="00945A0B">
        <w:rPr>
          <w:b/>
          <w:bCs/>
        </w:rPr>
        <w:t>s</w:t>
      </w:r>
      <w:r>
        <w:rPr>
          <w:b/>
          <w:bCs/>
        </w:rPr>
        <w:t xml:space="preserve"> the discussion of po</w:t>
      </w:r>
      <w:bookmarkStart w:id="11" w:name="_GoBack"/>
      <w:bookmarkEnd w:id="11"/>
      <w:r>
        <w:rPr>
          <w:b/>
          <w:bCs/>
        </w:rPr>
        <w:t>tential RAN2 impact on SSB periodicity extension</w:t>
      </w:r>
      <w:r w:rsidR="00CE152C">
        <w:rPr>
          <w:b/>
          <w:bCs/>
        </w:rPr>
        <w:t>.</w:t>
      </w:r>
    </w:p>
    <w:p w14:paraId="48A43B76" w14:textId="7F4D8F60" w:rsidR="00576A17" w:rsidRPr="000345AB" w:rsidRDefault="00576A17" w:rsidP="00576A17">
      <w:pPr>
        <w:pStyle w:val="2"/>
        <w:numPr>
          <w:ilvl w:val="1"/>
          <w:numId w:val="0"/>
        </w:numPr>
        <w:tabs>
          <w:tab w:val="num" w:pos="576"/>
        </w:tabs>
        <w:spacing w:before="120" w:after="120" w:line="240" w:lineRule="auto"/>
        <w:ind w:left="578" w:hanging="578"/>
        <w:rPr>
          <w:szCs w:val="24"/>
        </w:rPr>
      </w:pPr>
      <w:r w:rsidRPr="000345AB">
        <w:rPr>
          <w:szCs w:val="24"/>
        </w:rPr>
        <w:t>2.</w:t>
      </w:r>
      <w:r w:rsidR="00F509A5" w:rsidRPr="000345AB">
        <w:rPr>
          <w:szCs w:val="24"/>
        </w:rPr>
        <w:t>2</w:t>
      </w:r>
      <w:r w:rsidRPr="000345AB">
        <w:rPr>
          <w:szCs w:val="24"/>
        </w:rPr>
        <w:tab/>
      </w:r>
      <w:r w:rsidR="000345AB">
        <w:rPr>
          <w:szCs w:val="24"/>
        </w:rPr>
        <w:t>C</w:t>
      </w:r>
      <w:r w:rsidR="000345AB">
        <w:t>ell/beam level DTX</w:t>
      </w:r>
    </w:p>
    <w:p w14:paraId="23041D43" w14:textId="551529A4" w:rsidR="008E2209" w:rsidRDefault="00620DFD" w:rsidP="00F54F85">
      <w:pPr>
        <w:spacing w:line="240" w:lineRule="auto"/>
      </w:pPr>
      <w:r>
        <w:t xml:space="preserve">In </w:t>
      </w:r>
      <w:r w:rsidR="0050369E">
        <w:t xml:space="preserve">the </w:t>
      </w:r>
      <w:r>
        <w:t>last meeting, we mainly discussed the RAN1</w:t>
      </w:r>
      <w:r w:rsidR="0050369E">
        <w:t>-</w:t>
      </w:r>
      <w:r>
        <w:t>related issues and check</w:t>
      </w:r>
      <w:r w:rsidR="0050369E">
        <w:t>ed</w:t>
      </w:r>
      <w:r>
        <w:t xml:space="preserve"> with them via LS. But there are still some RAN2 centric issues </w:t>
      </w:r>
      <w:r w:rsidR="0050369E">
        <w:t>that</w:t>
      </w:r>
      <w:r>
        <w:t xml:space="preserve"> may not depend on RAN1’s response LS, i.e., how to provide the cell level/beam level DTX/DRX configuration.</w:t>
      </w:r>
    </w:p>
    <w:p w14:paraId="50CB24E7" w14:textId="0B4C92F5" w:rsidR="00F54F85" w:rsidRDefault="00620DFD" w:rsidP="00F54F85">
      <w:pPr>
        <w:spacing w:line="240" w:lineRule="auto"/>
      </w:pPr>
      <w:r>
        <w:t xml:space="preserve">In R18 NES, the cell level DTX/DRX configuration is configured via dedicated </w:t>
      </w:r>
      <w:r w:rsidR="00B11B90">
        <w:t>signalling</w:t>
      </w:r>
      <w:r>
        <w:t xml:space="preserve">, that is because even for the DTX/DRX off state, the common procedure like RACH/paging/SI is not affected. But for the cell level/beam level DTX in NTN, there may be some N1 beams where neither </w:t>
      </w:r>
      <w:r w:rsidRPr="00BC5783">
        <w:t>SSB/paging/SI nor dedicated transfer/receiving is available as defined by RAN1</w:t>
      </w:r>
      <w:r w:rsidR="00BC5783" w:rsidRPr="00BC5783">
        <w:t xml:space="preserve"> </w:t>
      </w:r>
      <w:r w:rsidRPr="00BC5783">
        <w:rPr>
          <w:rFonts w:hint="eastAsia"/>
        </w:rPr>
        <w:t>[</w:t>
      </w:r>
      <w:r w:rsidR="00032276" w:rsidRPr="00BC5783">
        <w:t>4</w:t>
      </w:r>
      <w:r w:rsidRPr="00BC5783">
        <w:t>].</w:t>
      </w:r>
      <w:r w:rsidR="008D6CE1" w:rsidRPr="00BC5783">
        <w:t xml:space="preserve"> Since this may influence the IDLE/INACTIVE UEs in the NTN cell, we think the DTX information should be </w:t>
      </w:r>
      <w:r w:rsidR="008D6CE1" w:rsidRPr="00BC5783">
        <w:rPr>
          <w:rFonts w:hint="eastAsia"/>
        </w:rPr>
        <w:t>provided</w:t>
      </w:r>
      <w:r w:rsidR="008D6CE1" w:rsidRPr="00BC5783">
        <w:t xml:space="preserve"> t</w:t>
      </w:r>
      <w:r w:rsidR="008D6CE1" w:rsidRPr="00BC5783">
        <w:rPr>
          <w:rFonts w:hint="eastAsia"/>
        </w:rPr>
        <w:t>hrough system information</w:t>
      </w:r>
      <w:r w:rsidR="008D6CE1" w:rsidRPr="00BC5783">
        <w:t>.</w:t>
      </w:r>
      <w:r w:rsidR="009278AD" w:rsidRPr="00BC5783">
        <w:t xml:space="preserve"> Considering that a cell consists of multiple beams or </w:t>
      </w:r>
      <w:r w:rsidR="00F66A8A" w:rsidRPr="00BC5783">
        <w:t>single</w:t>
      </w:r>
      <w:r w:rsidR="009278AD" w:rsidRPr="00BC5783">
        <w:t xml:space="preserve"> beam, the beam level DTX information can be applied to all use case</w:t>
      </w:r>
      <w:r w:rsidR="0050369E" w:rsidRPr="00BC5783">
        <w:t>s</w:t>
      </w:r>
      <w:r w:rsidR="009278AD" w:rsidRPr="00BC5783">
        <w:t>, which is preferable to us.</w:t>
      </w:r>
      <w:r w:rsidR="00BC5783" w:rsidRPr="00BC5783">
        <w:t xml:space="preserve"> For example, if a cell just </w:t>
      </w:r>
      <w:proofErr w:type="gramStart"/>
      <w:r w:rsidR="00BC5783" w:rsidRPr="00BC5783">
        <w:t>include</w:t>
      </w:r>
      <w:proofErr w:type="gramEnd"/>
      <w:r w:rsidR="00BC5783" w:rsidRPr="00BC5783">
        <w:t xml:space="preserve"> one beam, the </w:t>
      </w:r>
      <w:r w:rsidR="00BC5783">
        <w:t>beam</w:t>
      </w:r>
      <w:r w:rsidR="00BC5783" w:rsidRPr="00BC5783">
        <w:t xml:space="preserve">-level DTX configuration can be </w:t>
      </w:r>
      <w:r w:rsidR="000A43C1">
        <w:t xml:space="preserve">used for indicate the cell DTX inforamtion. </w:t>
      </w:r>
    </w:p>
    <w:p w14:paraId="05B1566F" w14:textId="6819A401" w:rsidR="0050369E" w:rsidRDefault="00F54F85" w:rsidP="0050369E">
      <w:pPr>
        <w:spacing w:line="240" w:lineRule="auto"/>
        <w:rPr>
          <w:lang w:val="en-US"/>
        </w:rPr>
      </w:pPr>
      <w:r>
        <w:t>S</w:t>
      </w:r>
      <w:r w:rsidR="000A43C1">
        <w:t>uch DTX configuration</w:t>
      </w:r>
      <w:r>
        <w:t xml:space="preserve"> is useful</w:t>
      </w:r>
      <w:r w:rsidR="000A43C1">
        <w:t xml:space="preserve"> </w:t>
      </w:r>
      <w:r w:rsidR="0050369E">
        <w:rPr>
          <w:lang w:val="en-US"/>
        </w:rPr>
        <w:t>for IDLE/INACTIVE UEs</w:t>
      </w:r>
      <w:r>
        <w:rPr>
          <w:lang w:val="en-US"/>
        </w:rPr>
        <w:t xml:space="preserve"> that </w:t>
      </w:r>
      <w:r w:rsidR="0050369E">
        <w:rPr>
          <w:lang w:val="en-US"/>
        </w:rPr>
        <w:t xml:space="preserve">need to monitor paging in case UE is camped on the cell in the corresponding monitoring occasion in each PF/PO. </w:t>
      </w:r>
      <w:r>
        <w:rPr>
          <w:lang w:val="en-US"/>
        </w:rPr>
        <w:t xml:space="preserve">For example, </w:t>
      </w:r>
      <w:r w:rsidR="0050369E">
        <w:rPr>
          <w:lang w:val="en-US"/>
        </w:rPr>
        <w:t xml:space="preserve">in case the UE is located in the beam for which it is in N1 state or switched to N1 state, UE need to keep monitoring in each monitoring occasion in each PF/PO even there is not any paging will be send by NW, but this may cause UE power consumption. To our consideration, such issue can be avoided with enhanced UE handling for this case, i.e., UE skip to monitor the paging occasions if UE determines these paging occasions is in the N1 state beam duration. </w:t>
      </w:r>
    </w:p>
    <w:p w14:paraId="065164FC" w14:textId="4D8BE446" w:rsidR="008D6CE1" w:rsidRDefault="008D6CE1" w:rsidP="00F54F85">
      <w:pPr>
        <w:spacing w:after="240" w:line="240" w:lineRule="auto"/>
        <w:rPr>
          <w:b/>
          <w:bCs/>
        </w:rPr>
      </w:pPr>
      <w:r w:rsidRPr="00376B47">
        <w:rPr>
          <w:rFonts w:hint="eastAsia"/>
          <w:b/>
          <w:bCs/>
        </w:rPr>
        <w:t xml:space="preserve">Proposal </w:t>
      </w:r>
      <w:r w:rsidR="00B4183A">
        <w:rPr>
          <w:b/>
          <w:bCs/>
        </w:rPr>
        <w:t>3</w:t>
      </w:r>
      <w:r w:rsidRPr="00376B47">
        <w:rPr>
          <w:rFonts w:hint="eastAsia"/>
          <w:b/>
          <w:bCs/>
        </w:rPr>
        <w:t xml:space="preserve">: The NW </w:t>
      </w:r>
      <w:r>
        <w:rPr>
          <w:rFonts w:hint="eastAsia"/>
          <w:b/>
          <w:bCs/>
        </w:rPr>
        <w:t>provides</w:t>
      </w:r>
      <w:r w:rsidRPr="00376B47">
        <w:rPr>
          <w:rFonts w:hint="eastAsia"/>
          <w:b/>
          <w:bCs/>
        </w:rPr>
        <w:t xml:space="preserve"> </w:t>
      </w:r>
      <w:r>
        <w:rPr>
          <w:b/>
        </w:rPr>
        <w:t>the beam level DTX information</w:t>
      </w:r>
      <w:r w:rsidRPr="007D2AAF">
        <w:rPr>
          <w:rFonts w:hint="eastAsia"/>
          <w:b/>
        </w:rPr>
        <w:t xml:space="preserve"> </w:t>
      </w:r>
      <w:r w:rsidRPr="00376B47">
        <w:rPr>
          <w:rFonts w:hint="eastAsia"/>
          <w:b/>
          <w:bCs/>
        </w:rPr>
        <w:t>through SIB</w:t>
      </w:r>
      <w:r w:rsidRPr="00E706FC">
        <w:rPr>
          <w:b/>
          <w:bCs/>
        </w:rPr>
        <w:t>.</w:t>
      </w:r>
    </w:p>
    <w:p w14:paraId="4721017A" w14:textId="6F5E5AE2" w:rsidR="00582F81" w:rsidRDefault="00582F81" w:rsidP="00CA6B4F">
      <w:pPr>
        <w:pStyle w:val="1"/>
        <w:numPr>
          <w:ilvl w:val="0"/>
          <w:numId w:val="22"/>
        </w:numPr>
        <w:spacing w:after="120" w:line="240" w:lineRule="auto"/>
        <w:jc w:val="left"/>
      </w:pPr>
      <w:bookmarkStart w:id="12" w:name="_Toc502437832"/>
      <w:r>
        <w:t>Conclusions</w:t>
      </w:r>
    </w:p>
    <w:p w14:paraId="24D3519A" w14:textId="28279203" w:rsidR="00327E0C" w:rsidRDefault="00344DF5" w:rsidP="00E706FC">
      <w:pPr>
        <w:spacing w:line="240" w:lineRule="auto"/>
        <w:rPr>
          <w:bCs/>
          <w:szCs w:val="22"/>
        </w:rPr>
      </w:pPr>
      <w:r w:rsidRPr="00E706FC">
        <w:t>This contribution discuss</w:t>
      </w:r>
      <w:r w:rsidR="00DE5939">
        <w:t>ed</w:t>
      </w:r>
      <w:r w:rsidR="001A5177" w:rsidRPr="00E706FC">
        <w:t xml:space="preserve"> the </w:t>
      </w:r>
      <w:r w:rsidR="00E83D4D" w:rsidRPr="00E706FC">
        <w:t xml:space="preserve">DL coverage </w:t>
      </w:r>
      <w:r w:rsidR="001A5177" w:rsidRPr="00E706FC">
        <w:t>enhancements</w:t>
      </w:r>
      <w:r w:rsidR="007E63CC">
        <w:t xml:space="preserve"> in Rel-19 NR NTN.</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1EA01CF9" w14:textId="77777777" w:rsidR="00D15A3C" w:rsidRPr="00685EAC" w:rsidRDefault="00D15A3C" w:rsidP="00D15A3C">
      <w:pPr>
        <w:spacing w:line="240" w:lineRule="auto"/>
        <w:rPr>
          <w:b/>
          <w:bCs/>
        </w:rPr>
      </w:pPr>
      <w:r w:rsidRPr="00685EAC">
        <w:rPr>
          <w:b/>
          <w:bCs/>
        </w:rPr>
        <w:t xml:space="preserve">Observation 1: </w:t>
      </w:r>
      <w:r>
        <w:rPr>
          <w:b/>
          <w:bCs/>
        </w:rPr>
        <w:t xml:space="preserve">Extending the SSB periodicity may be non-backward compatible for legacy UE, and it leads to more UE power consumption and initial cell search latency. </w:t>
      </w:r>
    </w:p>
    <w:p w14:paraId="76ECDC6D" w14:textId="77777777" w:rsidR="00D15A3C" w:rsidRPr="00685EAC" w:rsidRDefault="00D15A3C" w:rsidP="00D15A3C">
      <w:pPr>
        <w:spacing w:line="240" w:lineRule="auto"/>
        <w:rPr>
          <w:b/>
          <w:bCs/>
        </w:rPr>
      </w:pPr>
      <w:r w:rsidRPr="00685EAC">
        <w:rPr>
          <w:b/>
          <w:bCs/>
        </w:rPr>
        <w:t xml:space="preserve">Observation </w:t>
      </w:r>
      <w:r>
        <w:rPr>
          <w:b/>
          <w:bCs/>
        </w:rPr>
        <w:t>2</w:t>
      </w:r>
      <w:r w:rsidRPr="00685EAC">
        <w:rPr>
          <w:b/>
          <w:bCs/>
        </w:rPr>
        <w:t xml:space="preserve">: </w:t>
      </w:r>
      <w:r>
        <w:rPr>
          <w:b/>
          <w:bCs/>
        </w:rPr>
        <w:t xml:space="preserve">Extending the SSB periodicity may have impacts on RLM/BFD detection, since the UE may not determine the RLF/beam failure in time. </w:t>
      </w:r>
    </w:p>
    <w:p w14:paraId="0E1B99FF" w14:textId="77777777" w:rsidR="00D15A3C" w:rsidRPr="00685EAC" w:rsidRDefault="00D15A3C" w:rsidP="00D15A3C">
      <w:pPr>
        <w:spacing w:line="240" w:lineRule="auto"/>
        <w:rPr>
          <w:b/>
          <w:bCs/>
        </w:rPr>
      </w:pPr>
      <w:r w:rsidRPr="00685EAC">
        <w:rPr>
          <w:b/>
          <w:bCs/>
        </w:rPr>
        <w:t xml:space="preserve">Observation </w:t>
      </w:r>
      <w:r>
        <w:rPr>
          <w:b/>
          <w:bCs/>
        </w:rPr>
        <w:t>3</w:t>
      </w:r>
      <w:r w:rsidRPr="00685EAC">
        <w:rPr>
          <w:b/>
          <w:bCs/>
        </w:rPr>
        <w:t xml:space="preserve">: </w:t>
      </w:r>
      <w:r>
        <w:rPr>
          <w:b/>
          <w:bCs/>
        </w:rPr>
        <w:t>The current value range of the SMTC periodicity and offset, the service cell SSB periodicity, and the periodicity of the SIB1 requires new signalling if the extended SSB periodicity is larger than 160ms.</w:t>
      </w:r>
    </w:p>
    <w:p w14:paraId="07B6A2E1" w14:textId="77777777" w:rsidR="00D15A3C" w:rsidRDefault="00D15A3C" w:rsidP="00D15A3C">
      <w:pPr>
        <w:spacing w:line="240" w:lineRule="auto"/>
        <w:rPr>
          <w:b/>
          <w:bCs/>
        </w:rPr>
      </w:pPr>
      <w:r w:rsidRPr="00160841">
        <w:rPr>
          <w:rFonts w:hint="eastAsia"/>
          <w:b/>
          <w:bCs/>
        </w:rPr>
        <w:t>P</w:t>
      </w:r>
      <w:r w:rsidRPr="00160841">
        <w:rPr>
          <w:b/>
          <w:bCs/>
        </w:rPr>
        <w:t xml:space="preserve">roposal 1: </w:t>
      </w:r>
      <w:r>
        <w:rPr>
          <w:b/>
          <w:bCs/>
        </w:rPr>
        <w:t>Whether and how to extend the SSB periodicity is up to the RAN1 decision.</w:t>
      </w:r>
    </w:p>
    <w:p w14:paraId="04933DF3" w14:textId="1674AF1A" w:rsidR="00D15A3C" w:rsidRDefault="00D15A3C" w:rsidP="00D15A3C">
      <w:pPr>
        <w:spacing w:line="240" w:lineRule="auto"/>
        <w:rPr>
          <w:b/>
          <w:bCs/>
        </w:rPr>
      </w:pPr>
      <w:r>
        <w:rPr>
          <w:b/>
          <w:bCs/>
        </w:rPr>
        <w:t>Proposal 2: RAN2 postpone</w:t>
      </w:r>
      <w:r w:rsidR="00945A0B">
        <w:rPr>
          <w:b/>
          <w:bCs/>
        </w:rPr>
        <w:t>s</w:t>
      </w:r>
      <w:r>
        <w:rPr>
          <w:b/>
          <w:bCs/>
        </w:rPr>
        <w:t xml:space="preserve"> the discussion of potential RAN2 impact on SSB periodicity extension.</w:t>
      </w:r>
    </w:p>
    <w:p w14:paraId="522D207A" w14:textId="77777777" w:rsidR="00D15A3C" w:rsidRDefault="00D15A3C" w:rsidP="00D15A3C">
      <w:pPr>
        <w:spacing w:line="240" w:lineRule="auto"/>
        <w:rPr>
          <w:b/>
          <w:bCs/>
        </w:rPr>
      </w:pPr>
      <w:r w:rsidRPr="00376B47">
        <w:rPr>
          <w:rFonts w:hint="eastAsia"/>
          <w:b/>
          <w:bCs/>
        </w:rPr>
        <w:t xml:space="preserve">Proposal </w:t>
      </w:r>
      <w:r>
        <w:rPr>
          <w:b/>
          <w:bCs/>
        </w:rPr>
        <w:t>3</w:t>
      </w:r>
      <w:r w:rsidRPr="00376B47">
        <w:rPr>
          <w:rFonts w:hint="eastAsia"/>
          <w:b/>
          <w:bCs/>
        </w:rPr>
        <w:t xml:space="preserve">: The NW </w:t>
      </w:r>
      <w:r>
        <w:rPr>
          <w:rFonts w:hint="eastAsia"/>
          <w:b/>
          <w:bCs/>
        </w:rPr>
        <w:t>provides</w:t>
      </w:r>
      <w:r w:rsidRPr="00376B47">
        <w:rPr>
          <w:rFonts w:hint="eastAsia"/>
          <w:b/>
          <w:bCs/>
        </w:rPr>
        <w:t xml:space="preserve"> </w:t>
      </w:r>
      <w:r w:rsidRPr="00D15A3C">
        <w:rPr>
          <w:b/>
          <w:bCs/>
        </w:rPr>
        <w:t>the beam level DTX information</w:t>
      </w:r>
      <w:r w:rsidRPr="00D15A3C">
        <w:rPr>
          <w:rFonts w:hint="eastAsia"/>
          <w:b/>
          <w:bCs/>
        </w:rPr>
        <w:t xml:space="preserve"> </w:t>
      </w:r>
      <w:r w:rsidRPr="00376B47">
        <w:rPr>
          <w:rFonts w:hint="eastAsia"/>
          <w:b/>
          <w:bCs/>
        </w:rPr>
        <w:t>through SIB</w:t>
      </w:r>
      <w:r w:rsidRPr="00E706FC">
        <w:rPr>
          <w:b/>
          <w:bCs/>
        </w:rPr>
        <w:t>.</w:t>
      </w:r>
    </w:p>
    <w:p w14:paraId="3059CDD5" w14:textId="76FE4CD1" w:rsidR="00137B81" w:rsidRDefault="00505CF9" w:rsidP="00CA6B4F">
      <w:pPr>
        <w:pStyle w:val="1"/>
        <w:numPr>
          <w:ilvl w:val="0"/>
          <w:numId w:val="22"/>
        </w:numPr>
        <w:spacing w:after="120" w:line="240" w:lineRule="auto"/>
        <w:jc w:val="left"/>
      </w:pPr>
      <w:r>
        <w:t>Reference</w:t>
      </w:r>
    </w:p>
    <w:bookmarkEnd w:id="12"/>
    <w:p w14:paraId="046CF0B4" w14:textId="064CF759" w:rsidR="005B4E36" w:rsidRDefault="005B4E36" w:rsidP="005F77C1">
      <w:pPr>
        <w:numPr>
          <w:ilvl w:val="0"/>
          <w:numId w:val="14"/>
        </w:numPr>
        <w:spacing w:line="240" w:lineRule="auto"/>
        <w:rPr>
          <w:rStyle w:val="af6"/>
          <w:color w:val="auto"/>
          <w:u w:val="none"/>
        </w:rPr>
      </w:pPr>
      <w:r w:rsidRPr="005B4E36">
        <w:rPr>
          <w:rStyle w:val="af6"/>
          <w:color w:val="auto"/>
          <w:u w:val="none"/>
        </w:rPr>
        <w:t>RP-241667</w:t>
      </w:r>
      <w:r w:rsidRPr="004E4647">
        <w:rPr>
          <w:rFonts w:cs="Arial"/>
          <w:bCs/>
        </w:rPr>
        <w:t>, Revised WID: Non-Terrestrial Networks (NTN) for NR Phase 3, Thales, CATT</w:t>
      </w:r>
      <w:r>
        <w:rPr>
          <w:rFonts w:cs="Arial" w:hint="eastAsia"/>
          <w:bCs/>
        </w:rPr>
        <w:t>.</w:t>
      </w:r>
    </w:p>
    <w:p w14:paraId="33C3374A" w14:textId="2421D08F" w:rsidR="009B0860" w:rsidRDefault="005B4E36" w:rsidP="005F77C1">
      <w:pPr>
        <w:numPr>
          <w:ilvl w:val="0"/>
          <w:numId w:val="14"/>
        </w:numPr>
        <w:spacing w:line="240" w:lineRule="auto"/>
        <w:rPr>
          <w:rStyle w:val="af6"/>
          <w:color w:val="auto"/>
          <w:u w:val="none"/>
        </w:rPr>
      </w:pPr>
      <w:r>
        <w:rPr>
          <w:rStyle w:val="af6"/>
          <w:color w:val="auto"/>
          <w:u w:val="none"/>
        </w:rPr>
        <w:t>TS38</w:t>
      </w:r>
      <w:r>
        <w:rPr>
          <w:rStyle w:val="af6"/>
          <w:rFonts w:hint="eastAsia"/>
          <w:color w:val="auto"/>
          <w:u w:val="none"/>
        </w:rPr>
        <w:t>.</w:t>
      </w:r>
      <w:r>
        <w:rPr>
          <w:rStyle w:val="af6"/>
          <w:color w:val="auto"/>
          <w:u w:val="none"/>
        </w:rPr>
        <w:t>213</w:t>
      </w:r>
      <w:r w:rsidR="00F86FF8">
        <w:rPr>
          <w:rStyle w:val="af6"/>
          <w:color w:val="auto"/>
          <w:u w:val="none"/>
        </w:rPr>
        <w:t>,</w:t>
      </w:r>
      <w:r w:rsidR="00F86FF8" w:rsidRPr="00F86FF8">
        <w:t xml:space="preserve"> </w:t>
      </w:r>
      <w:r w:rsidR="00F86FF8" w:rsidRPr="00F86FF8">
        <w:rPr>
          <w:rStyle w:val="af6"/>
          <w:color w:val="auto"/>
          <w:u w:val="none"/>
        </w:rPr>
        <w:t>NR; Physical layer procedures for control</w:t>
      </w:r>
      <w:r w:rsidR="006364D3">
        <w:rPr>
          <w:rStyle w:val="af6"/>
          <w:color w:val="auto"/>
          <w:u w:val="none"/>
        </w:rPr>
        <w:t>.</w:t>
      </w:r>
    </w:p>
    <w:p w14:paraId="54FFE97D" w14:textId="0437E7D2" w:rsidR="005B4E36" w:rsidRDefault="005B4E36" w:rsidP="0020718A">
      <w:pPr>
        <w:numPr>
          <w:ilvl w:val="0"/>
          <w:numId w:val="14"/>
        </w:numPr>
        <w:spacing w:line="240" w:lineRule="auto"/>
      </w:pPr>
      <w:r>
        <w:rPr>
          <w:rFonts w:hint="eastAsia"/>
        </w:rPr>
        <w:t>T</w:t>
      </w:r>
      <w:r>
        <w:t>S38.331</w:t>
      </w:r>
      <w:r w:rsidR="00F86FF8">
        <w:t xml:space="preserve">, </w:t>
      </w:r>
      <w:r w:rsidR="00F86FF8" w:rsidRPr="00F86FF8">
        <w:t>NR; Radio Resource Control (RRC); Protocol specification</w:t>
      </w:r>
      <w:r w:rsidR="00F86FF8">
        <w:t>.</w:t>
      </w:r>
    </w:p>
    <w:p w14:paraId="3D7916BE" w14:textId="1754D8A6" w:rsidR="002100B1" w:rsidRPr="00CE2EC1" w:rsidRDefault="0019588C" w:rsidP="00BC5783">
      <w:pPr>
        <w:numPr>
          <w:ilvl w:val="0"/>
          <w:numId w:val="14"/>
        </w:numPr>
        <w:spacing w:line="240" w:lineRule="auto"/>
      </w:pPr>
      <w:r w:rsidRPr="0019588C">
        <w:t>Final_Minutes_report_RAN1#116_v100</w:t>
      </w:r>
      <w:r>
        <w:t>.</w:t>
      </w:r>
    </w:p>
    <w:sectPr w:rsidR="002100B1" w:rsidRPr="00CE2EC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F00AF" w14:textId="77777777" w:rsidR="000F6397" w:rsidRDefault="000F6397">
      <w:pPr>
        <w:spacing w:after="0" w:line="240" w:lineRule="auto"/>
      </w:pPr>
      <w:r>
        <w:separator/>
      </w:r>
    </w:p>
  </w:endnote>
  <w:endnote w:type="continuationSeparator" w:id="0">
    <w:p w14:paraId="60CB9F51" w14:textId="77777777" w:rsidR="000F6397" w:rsidRDefault="000F6397">
      <w:pPr>
        <w:spacing w:after="0" w:line="240" w:lineRule="auto"/>
      </w:pPr>
      <w:r>
        <w:continuationSeparator/>
      </w:r>
    </w:p>
  </w:endnote>
  <w:endnote w:type="continuationNotice" w:id="1">
    <w:p w14:paraId="207425ED" w14:textId="77777777" w:rsidR="000F6397" w:rsidRDefault="000F6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B3A93" w14:textId="77777777" w:rsidR="000F6397" w:rsidRDefault="000F6397">
      <w:pPr>
        <w:spacing w:after="0" w:line="240" w:lineRule="auto"/>
      </w:pPr>
      <w:r>
        <w:separator/>
      </w:r>
    </w:p>
  </w:footnote>
  <w:footnote w:type="continuationSeparator" w:id="0">
    <w:p w14:paraId="5A7CDB7E" w14:textId="77777777" w:rsidR="000F6397" w:rsidRDefault="000F6397">
      <w:pPr>
        <w:spacing w:after="0" w:line="240" w:lineRule="auto"/>
      </w:pPr>
      <w:r>
        <w:continuationSeparator/>
      </w:r>
    </w:p>
  </w:footnote>
  <w:footnote w:type="continuationNotice" w:id="1">
    <w:p w14:paraId="4A329A0F" w14:textId="77777777" w:rsidR="000F6397" w:rsidRDefault="000F63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num>
  <w:num w:numId="3">
    <w:abstractNumId w:val="15"/>
  </w:num>
  <w:num w:numId="4">
    <w:abstractNumId w:val="3"/>
  </w:num>
  <w:num w:numId="5">
    <w:abstractNumId w:val="7"/>
  </w:num>
  <w:num w:numId="6">
    <w:abstractNumId w:val="21"/>
  </w:num>
  <w:num w:numId="7">
    <w:abstractNumId w:val="18"/>
  </w:num>
  <w:num w:numId="8">
    <w:abstractNumId w:val="11"/>
  </w:num>
  <w:num w:numId="9">
    <w:abstractNumId w:val="24"/>
  </w:num>
  <w:num w:numId="10">
    <w:abstractNumId w:val="13"/>
  </w:num>
  <w:num w:numId="11">
    <w:abstractNumId w:val="16"/>
  </w:num>
  <w:num w:numId="12">
    <w:abstractNumId w:val="6"/>
  </w:num>
  <w:num w:numId="13">
    <w:abstractNumId w:val="23"/>
  </w:num>
  <w:num w:numId="14">
    <w:abstractNumId w:val="26"/>
  </w:num>
  <w:num w:numId="15">
    <w:abstractNumId w:val="10"/>
  </w:num>
  <w:num w:numId="16">
    <w:abstractNumId w:val="5"/>
  </w:num>
  <w:num w:numId="17">
    <w:abstractNumId w:val="25"/>
  </w:num>
  <w:num w:numId="18">
    <w:abstractNumId w:val="17"/>
  </w:num>
  <w:num w:numId="19">
    <w:abstractNumId w:val="22"/>
  </w:num>
  <w:num w:numId="20">
    <w:abstractNumId w:val="8"/>
  </w:num>
  <w:num w:numId="21">
    <w:abstractNumId w:val="2"/>
  </w:num>
  <w:num w:numId="22">
    <w:abstractNumId w:val="4"/>
  </w:num>
  <w:num w:numId="23">
    <w:abstractNumId w:val="12"/>
  </w:num>
  <w:num w:numId="24">
    <w:abstractNumId w:val="19"/>
  </w:num>
  <w:num w:numId="25">
    <w:abstractNumId w:val="1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
  </w:num>
  <w:num w:numId="29">
    <w:abstractNumId w:val="1"/>
  </w:num>
  <w:num w:numId="30">
    <w:abstractNumId w:val="1"/>
  </w:num>
  <w:num w:numId="31">
    <w:abstractNumId w:val="1"/>
  </w:num>
  <w:num w:numId="32">
    <w:abstractNumId w:val="1"/>
  </w:num>
  <w:num w:numId="3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zWgAzUeT8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276"/>
    <w:rsid w:val="00032336"/>
    <w:rsid w:val="000330F9"/>
    <w:rsid w:val="000331F0"/>
    <w:rsid w:val="000332BA"/>
    <w:rsid w:val="00033817"/>
    <w:rsid w:val="0003389F"/>
    <w:rsid w:val="0003395F"/>
    <w:rsid w:val="00034109"/>
    <w:rsid w:val="00034515"/>
    <w:rsid w:val="000345AB"/>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2A1"/>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AD1"/>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3C1"/>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6C5"/>
    <w:rsid w:val="000E6EA7"/>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397"/>
    <w:rsid w:val="000F68DD"/>
    <w:rsid w:val="000F6CB6"/>
    <w:rsid w:val="000F700D"/>
    <w:rsid w:val="000F71C1"/>
    <w:rsid w:val="000F737B"/>
    <w:rsid w:val="000F7453"/>
    <w:rsid w:val="000F7982"/>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C30"/>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8A4"/>
    <w:rsid w:val="00131E5C"/>
    <w:rsid w:val="001324EB"/>
    <w:rsid w:val="00132550"/>
    <w:rsid w:val="0013271E"/>
    <w:rsid w:val="0013318C"/>
    <w:rsid w:val="001331E0"/>
    <w:rsid w:val="00133292"/>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3E"/>
    <w:rsid w:val="001473DC"/>
    <w:rsid w:val="00147453"/>
    <w:rsid w:val="001478B4"/>
    <w:rsid w:val="00147C16"/>
    <w:rsid w:val="0015026C"/>
    <w:rsid w:val="00150295"/>
    <w:rsid w:val="001503CE"/>
    <w:rsid w:val="0015052E"/>
    <w:rsid w:val="001507B0"/>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841"/>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39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C57"/>
    <w:rsid w:val="00194DB8"/>
    <w:rsid w:val="00194DEB"/>
    <w:rsid w:val="00194F0A"/>
    <w:rsid w:val="00194F82"/>
    <w:rsid w:val="001957DC"/>
    <w:rsid w:val="0019588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1D05"/>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173C"/>
    <w:rsid w:val="001B3233"/>
    <w:rsid w:val="001B377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901"/>
    <w:rsid w:val="001D393B"/>
    <w:rsid w:val="001D3F46"/>
    <w:rsid w:val="001D477F"/>
    <w:rsid w:val="001D4B35"/>
    <w:rsid w:val="001D4BC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330"/>
    <w:rsid w:val="002026E3"/>
    <w:rsid w:val="00202DC9"/>
    <w:rsid w:val="00202E5B"/>
    <w:rsid w:val="0020307D"/>
    <w:rsid w:val="00203669"/>
    <w:rsid w:val="0020384B"/>
    <w:rsid w:val="00203BE1"/>
    <w:rsid w:val="00203E23"/>
    <w:rsid w:val="00203E47"/>
    <w:rsid w:val="00204315"/>
    <w:rsid w:val="0020483F"/>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A64"/>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5B2C"/>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31"/>
    <w:rsid w:val="002B0452"/>
    <w:rsid w:val="002B07AE"/>
    <w:rsid w:val="002B0886"/>
    <w:rsid w:val="002B0894"/>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121"/>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4D"/>
    <w:rsid w:val="002C1AAD"/>
    <w:rsid w:val="002C205F"/>
    <w:rsid w:val="002C208F"/>
    <w:rsid w:val="002C2139"/>
    <w:rsid w:val="002C251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19F"/>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4"/>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9E3"/>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2AC"/>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5AC"/>
    <w:rsid w:val="003B2A41"/>
    <w:rsid w:val="003B2D97"/>
    <w:rsid w:val="003B2E6E"/>
    <w:rsid w:val="003B3279"/>
    <w:rsid w:val="003B3565"/>
    <w:rsid w:val="003B35B7"/>
    <w:rsid w:val="003B3865"/>
    <w:rsid w:val="003B3AE9"/>
    <w:rsid w:val="003B3D84"/>
    <w:rsid w:val="003B3F2A"/>
    <w:rsid w:val="003B402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472"/>
    <w:rsid w:val="003C0500"/>
    <w:rsid w:val="003C06B5"/>
    <w:rsid w:val="003C1CD2"/>
    <w:rsid w:val="003C2248"/>
    <w:rsid w:val="003C2321"/>
    <w:rsid w:val="003C2328"/>
    <w:rsid w:val="003C25A0"/>
    <w:rsid w:val="003C29AC"/>
    <w:rsid w:val="003C2E36"/>
    <w:rsid w:val="003C2F64"/>
    <w:rsid w:val="003C3015"/>
    <w:rsid w:val="003C3507"/>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293"/>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029"/>
    <w:rsid w:val="003E49AF"/>
    <w:rsid w:val="003E4A33"/>
    <w:rsid w:val="003E4E1B"/>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90D"/>
    <w:rsid w:val="0042504E"/>
    <w:rsid w:val="004250F7"/>
    <w:rsid w:val="00425115"/>
    <w:rsid w:val="00425166"/>
    <w:rsid w:val="00425196"/>
    <w:rsid w:val="0042566B"/>
    <w:rsid w:val="004256B4"/>
    <w:rsid w:val="00425745"/>
    <w:rsid w:val="00425A4F"/>
    <w:rsid w:val="00425EC9"/>
    <w:rsid w:val="00426070"/>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FC8"/>
    <w:rsid w:val="00436925"/>
    <w:rsid w:val="00436E5C"/>
    <w:rsid w:val="00436F4B"/>
    <w:rsid w:val="00437617"/>
    <w:rsid w:val="00437664"/>
    <w:rsid w:val="004378FF"/>
    <w:rsid w:val="00437C4B"/>
    <w:rsid w:val="00437E19"/>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6DC"/>
    <w:rsid w:val="004C66FF"/>
    <w:rsid w:val="004C67BB"/>
    <w:rsid w:val="004C67FC"/>
    <w:rsid w:val="004C6CAA"/>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5111"/>
    <w:rsid w:val="004E5281"/>
    <w:rsid w:val="004E5407"/>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326"/>
    <w:rsid w:val="0050353F"/>
    <w:rsid w:val="00503562"/>
    <w:rsid w:val="0050358F"/>
    <w:rsid w:val="0050369E"/>
    <w:rsid w:val="005036C6"/>
    <w:rsid w:val="005037C5"/>
    <w:rsid w:val="00503DCA"/>
    <w:rsid w:val="005044BF"/>
    <w:rsid w:val="00504AEC"/>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BBE"/>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11D"/>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0B7C"/>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8E1"/>
    <w:rsid w:val="00572D84"/>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A17"/>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3E5D"/>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51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97B"/>
    <w:rsid w:val="005A6FB5"/>
    <w:rsid w:val="005A735C"/>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4E3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090"/>
    <w:rsid w:val="005C75E2"/>
    <w:rsid w:val="005C7A2B"/>
    <w:rsid w:val="005C7D8E"/>
    <w:rsid w:val="005C7F87"/>
    <w:rsid w:val="005D007A"/>
    <w:rsid w:val="005D00C6"/>
    <w:rsid w:val="005D03A6"/>
    <w:rsid w:val="005D051E"/>
    <w:rsid w:val="005D0736"/>
    <w:rsid w:val="005D08C7"/>
    <w:rsid w:val="005D2431"/>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874"/>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0DFD"/>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1F05"/>
    <w:rsid w:val="00632014"/>
    <w:rsid w:val="006328DD"/>
    <w:rsid w:val="00632979"/>
    <w:rsid w:val="00632E29"/>
    <w:rsid w:val="00632E9A"/>
    <w:rsid w:val="00632F2E"/>
    <w:rsid w:val="00632F43"/>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DF4"/>
    <w:rsid w:val="00637F63"/>
    <w:rsid w:val="00637FBF"/>
    <w:rsid w:val="006400AC"/>
    <w:rsid w:val="006401B4"/>
    <w:rsid w:val="006401B7"/>
    <w:rsid w:val="00640727"/>
    <w:rsid w:val="00640783"/>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BB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353"/>
    <w:rsid w:val="00674626"/>
    <w:rsid w:val="00674700"/>
    <w:rsid w:val="0067474C"/>
    <w:rsid w:val="006748C8"/>
    <w:rsid w:val="00674B92"/>
    <w:rsid w:val="00675615"/>
    <w:rsid w:val="0067599F"/>
    <w:rsid w:val="00675BF1"/>
    <w:rsid w:val="0067668D"/>
    <w:rsid w:val="006768EA"/>
    <w:rsid w:val="006769DA"/>
    <w:rsid w:val="00676E80"/>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8F9"/>
    <w:rsid w:val="00685C0D"/>
    <w:rsid w:val="00685DFA"/>
    <w:rsid w:val="00685EAC"/>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3FEF"/>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727"/>
    <w:rsid w:val="006B6DC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4F4"/>
    <w:rsid w:val="006C361C"/>
    <w:rsid w:val="006C3968"/>
    <w:rsid w:val="006C4033"/>
    <w:rsid w:val="006C4840"/>
    <w:rsid w:val="006C4859"/>
    <w:rsid w:val="006C4D38"/>
    <w:rsid w:val="006C4DA2"/>
    <w:rsid w:val="006C52FF"/>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27"/>
    <w:rsid w:val="006D1F41"/>
    <w:rsid w:val="006D2383"/>
    <w:rsid w:val="006D2549"/>
    <w:rsid w:val="006D25E4"/>
    <w:rsid w:val="006D2C0A"/>
    <w:rsid w:val="006D31A2"/>
    <w:rsid w:val="006D35B3"/>
    <w:rsid w:val="006D372F"/>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8AB"/>
    <w:rsid w:val="006E3954"/>
    <w:rsid w:val="006E3A04"/>
    <w:rsid w:val="006E3AE2"/>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5E44"/>
    <w:rsid w:val="006F61D4"/>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16E"/>
    <w:rsid w:val="00705445"/>
    <w:rsid w:val="00705B01"/>
    <w:rsid w:val="00705DB8"/>
    <w:rsid w:val="007066C3"/>
    <w:rsid w:val="0070676C"/>
    <w:rsid w:val="00707100"/>
    <w:rsid w:val="00707113"/>
    <w:rsid w:val="007072DD"/>
    <w:rsid w:val="00707567"/>
    <w:rsid w:val="007077F9"/>
    <w:rsid w:val="0070796D"/>
    <w:rsid w:val="00707D2B"/>
    <w:rsid w:val="00707E41"/>
    <w:rsid w:val="0071021F"/>
    <w:rsid w:val="00710392"/>
    <w:rsid w:val="007107CE"/>
    <w:rsid w:val="00710F81"/>
    <w:rsid w:val="00711308"/>
    <w:rsid w:val="007113BD"/>
    <w:rsid w:val="00711472"/>
    <w:rsid w:val="00711826"/>
    <w:rsid w:val="00712057"/>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AE3"/>
    <w:rsid w:val="00716B0C"/>
    <w:rsid w:val="00716FED"/>
    <w:rsid w:val="0071774E"/>
    <w:rsid w:val="00717FBB"/>
    <w:rsid w:val="007204B1"/>
    <w:rsid w:val="007204E3"/>
    <w:rsid w:val="007207D8"/>
    <w:rsid w:val="007209BD"/>
    <w:rsid w:val="00720CFB"/>
    <w:rsid w:val="00720D47"/>
    <w:rsid w:val="00720E35"/>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61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1D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0C4"/>
    <w:rsid w:val="00742395"/>
    <w:rsid w:val="007427E5"/>
    <w:rsid w:val="00742C3C"/>
    <w:rsid w:val="00743037"/>
    <w:rsid w:val="00743082"/>
    <w:rsid w:val="00743090"/>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94"/>
    <w:rsid w:val="00755AF1"/>
    <w:rsid w:val="007562B5"/>
    <w:rsid w:val="007562CB"/>
    <w:rsid w:val="00756C59"/>
    <w:rsid w:val="00756D27"/>
    <w:rsid w:val="0075766A"/>
    <w:rsid w:val="007577CB"/>
    <w:rsid w:val="0075790C"/>
    <w:rsid w:val="00757A16"/>
    <w:rsid w:val="00757D4C"/>
    <w:rsid w:val="00757FCD"/>
    <w:rsid w:val="007604AE"/>
    <w:rsid w:val="00760794"/>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7FF"/>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6F2"/>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07CA"/>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2BD"/>
    <w:rsid w:val="007B67B1"/>
    <w:rsid w:val="007B6AB9"/>
    <w:rsid w:val="007B6FCE"/>
    <w:rsid w:val="007B6FD6"/>
    <w:rsid w:val="007B71C2"/>
    <w:rsid w:val="007B7494"/>
    <w:rsid w:val="007B78ED"/>
    <w:rsid w:val="007B7E67"/>
    <w:rsid w:val="007C0237"/>
    <w:rsid w:val="007C02A0"/>
    <w:rsid w:val="007C0799"/>
    <w:rsid w:val="007C0D7F"/>
    <w:rsid w:val="007C0DEE"/>
    <w:rsid w:val="007C0EB8"/>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14"/>
    <w:rsid w:val="00816FB8"/>
    <w:rsid w:val="008170C5"/>
    <w:rsid w:val="00817114"/>
    <w:rsid w:val="008171F9"/>
    <w:rsid w:val="0081732D"/>
    <w:rsid w:val="00817546"/>
    <w:rsid w:val="00820004"/>
    <w:rsid w:val="00820422"/>
    <w:rsid w:val="008206F7"/>
    <w:rsid w:val="0082076E"/>
    <w:rsid w:val="008207B0"/>
    <w:rsid w:val="008208C7"/>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32B"/>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5CDF"/>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9DB"/>
    <w:rsid w:val="008B7D42"/>
    <w:rsid w:val="008B7D4D"/>
    <w:rsid w:val="008C03AF"/>
    <w:rsid w:val="008C04C3"/>
    <w:rsid w:val="008C0858"/>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475"/>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6CE1"/>
    <w:rsid w:val="008D7BB3"/>
    <w:rsid w:val="008E03C1"/>
    <w:rsid w:val="008E0834"/>
    <w:rsid w:val="008E0865"/>
    <w:rsid w:val="008E0874"/>
    <w:rsid w:val="008E098A"/>
    <w:rsid w:val="008E1235"/>
    <w:rsid w:val="008E1B2A"/>
    <w:rsid w:val="008E1CE0"/>
    <w:rsid w:val="008E1CE1"/>
    <w:rsid w:val="008E2209"/>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4FAC"/>
    <w:rsid w:val="008F5140"/>
    <w:rsid w:val="008F540C"/>
    <w:rsid w:val="008F56C2"/>
    <w:rsid w:val="008F5A1D"/>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7B3"/>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9E8"/>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910"/>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5FB5"/>
    <w:rsid w:val="0092617D"/>
    <w:rsid w:val="00926ED1"/>
    <w:rsid w:val="009276B4"/>
    <w:rsid w:val="009276E6"/>
    <w:rsid w:val="009278AD"/>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75D"/>
    <w:rsid w:val="00943B32"/>
    <w:rsid w:val="00943D07"/>
    <w:rsid w:val="0094438A"/>
    <w:rsid w:val="00944526"/>
    <w:rsid w:val="009449BB"/>
    <w:rsid w:val="00944A83"/>
    <w:rsid w:val="009456DD"/>
    <w:rsid w:val="00945A0B"/>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19F"/>
    <w:rsid w:val="009631F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712"/>
    <w:rsid w:val="009877A0"/>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CFC"/>
    <w:rsid w:val="009C2D08"/>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5CAF"/>
    <w:rsid w:val="009E6001"/>
    <w:rsid w:val="009E6736"/>
    <w:rsid w:val="009E675B"/>
    <w:rsid w:val="009E68EC"/>
    <w:rsid w:val="009E6F28"/>
    <w:rsid w:val="009E72A1"/>
    <w:rsid w:val="009E738D"/>
    <w:rsid w:val="009F03D2"/>
    <w:rsid w:val="009F0895"/>
    <w:rsid w:val="009F09C5"/>
    <w:rsid w:val="009F0B3E"/>
    <w:rsid w:val="009F0C6F"/>
    <w:rsid w:val="009F1183"/>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247"/>
    <w:rsid w:val="00A0057D"/>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8CA"/>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33"/>
    <w:rsid w:val="00A34657"/>
    <w:rsid w:val="00A347CD"/>
    <w:rsid w:val="00A3486B"/>
    <w:rsid w:val="00A34C11"/>
    <w:rsid w:val="00A34DD0"/>
    <w:rsid w:val="00A34FBE"/>
    <w:rsid w:val="00A35245"/>
    <w:rsid w:val="00A356E6"/>
    <w:rsid w:val="00A35832"/>
    <w:rsid w:val="00A35EFE"/>
    <w:rsid w:val="00A35FBB"/>
    <w:rsid w:val="00A362A8"/>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A96"/>
    <w:rsid w:val="00A51D3F"/>
    <w:rsid w:val="00A51DD5"/>
    <w:rsid w:val="00A5201A"/>
    <w:rsid w:val="00A52100"/>
    <w:rsid w:val="00A52147"/>
    <w:rsid w:val="00A522A1"/>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197"/>
    <w:rsid w:val="00AA5375"/>
    <w:rsid w:val="00AA55CA"/>
    <w:rsid w:val="00AA565A"/>
    <w:rsid w:val="00AA6174"/>
    <w:rsid w:val="00AA6F2A"/>
    <w:rsid w:val="00AA7363"/>
    <w:rsid w:val="00AA7B0F"/>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0DE1"/>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77B"/>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440"/>
    <w:rsid w:val="00AD4854"/>
    <w:rsid w:val="00AD4C64"/>
    <w:rsid w:val="00AD4CD0"/>
    <w:rsid w:val="00AD4D88"/>
    <w:rsid w:val="00AD506A"/>
    <w:rsid w:val="00AD568D"/>
    <w:rsid w:val="00AD59EE"/>
    <w:rsid w:val="00AD5A5C"/>
    <w:rsid w:val="00AD5B09"/>
    <w:rsid w:val="00AD5DDF"/>
    <w:rsid w:val="00AD62AC"/>
    <w:rsid w:val="00AD6518"/>
    <w:rsid w:val="00AD6659"/>
    <w:rsid w:val="00AD6D34"/>
    <w:rsid w:val="00AD6E85"/>
    <w:rsid w:val="00AD7379"/>
    <w:rsid w:val="00AD77A6"/>
    <w:rsid w:val="00AD79B7"/>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2AB"/>
    <w:rsid w:val="00AF5478"/>
    <w:rsid w:val="00AF5738"/>
    <w:rsid w:val="00AF5948"/>
    <w:rsid w:val="00AF62F7"/>
    <w:rsid w:val="00AF66B4"/>
    <w:rsid w:val="00AF66D0"/>
    <w:rsid w:val="00AF6721"/>
    <w:rsid w:val="00AF67E2"/>
    <w:rsid w:val="00AF690D"/>
    <w:rsid w:val="00AF69E2"/>
    <w:rsid w:val="00AF6D66"/>
    <w:rsid w:val="00AF72A5"/>
    <w:rsid w:val="00AF79EB"/>
    <w:rsid w:val="00AF7ABF"/>
    <w:rsid w:val="00AF7C99"/>
    <w:rsid w:val="00AF7FD8"/>
    <w:rsid w:val="00B008D7"/>
    <w:rsid w:val="00B00AD0"/>
    <w:rsid w:val="00B00D3B"/>
    <w:rsid w:val="00B0145D"/>
    <w:rsid w:val="00B01DFA"/>
    <w:rsid w:val="00B021D4"/>
    <w:rsid w:val="00B025C3"/>
    <w:rsid w:val="00B02642"/>
    <w:rsid w:val="00B0292C"/>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072"/>
    <w:rsid w:val="00B1052F"/>
    <w:rsid w:val="00B10755"/>
    <w:rsid w:val="00B10842"/>
    <w:rsid w:val="00B10A0D"/>
    <w:rsid w:val="00B10FD9"/>
    <w:rsid w:val="00B112F2"/>
    <w:rsid w:val="00B114ED"/>
    <w:rsid w:val="00B11B90"/>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DF7"/>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83A"/>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3F8"/>
    <w:rsid w:val="00B5552C"/>
    <w:rsid w:val="00B55A72"/>
    <w:rsid w:val="00B55FBC"/>
    <w:rsid w:val="00B56643"/>
    <w:rsid w:val="00B56746"/>
    <w:rsid w:val="00B56C69"/>
    <w:rsid w:val="00B56E11"/>
    <w:rsid w:val="00B57652"/>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E1D"/>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63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783"/>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CB"/>
    <w:rsid w:val="00BC7DFC"/>
    <w:rsid w:val="00BD03F1"/>
    <w:rsid w:val="00BD0BC0"/>
    <w:rsid w:val="00BD0EB3"/>
    <w:rsid w:val="00BD0FB8"/>
    <w:rsid w:val="00BD12EE"/>
    <w:rsid w:val="00BD1562"/>
    <w:rsid w:val="00BD18E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2ED"/>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437"/>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A00"/>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087"/>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B02"/>
    <w:rsid w:val="00CB1CF3"/>
    <w:rsid w:val="00CB25C3"/>
    <w:rsid w:val="00CB2ED5"/>
    <w:rsid w:val="00CB320A"/>
    <w:rsid w:val="00CB321E"/>
    <w:rsid w:val="00CB3976"/>
    <w:rsid w:val="00CB3DD0"/>
    <w:rsid w:val="00CB3E69"/>
    <w:rsid w:val="00CB4622"/>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42C8"/>
    <w:rsid w:val="00CD44A7"/>
    <w:rsid w:val="00CD450F"/>
    <w:rsid w:val="00CD4674"/>
    <w:rsid w:val="00CD4CBF"/>
    <w:rsid w:val="00CD4F74"/>
    <w:rsid w:val="00CD503E"/>
    <w:rsid w:val="00CD5553"/>
    <w:rsid w:val="00CD63B1"/>
    <w:rsid w:val="00CD66BD"/>
    <w:rsid w:val="00CD6A6C"/>
    <w:rsid w:val="00CD6EBB"/>
    <w:rsid w:val="00CD733A"/>
    <w:rsid w:val="00CD777C"/>
    <w:rsid w:val="00CD77A9"/>
    <w:rsid w:val="00CD7CD3"/>
    <w:rsid w:val="00CE029E"/>
    <w:rsid w:val="00CE02B7"/>
    <w:rsid w:val="00CE04C8"/>
    <w:rsid w:val="00CE05E8"/>
    <w:rsid w:val="00CE152C"/>
    <w:rsid w:val="00CE1616"/>
    <w:rsid w:val="00CE16AC"/>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6134"/>
    <w:rsid w:val="00CE667F"/>
    <w:rsid w:val="00CE6C35"/>
    <w:rsid w:val="00CE6EDF"/>
    <w:rsid w:val="00CE7139"/>
    <w:rsid w:val="00CE7395"/>
    <w:rsid w:val="00CE7695"/>
    <w:rsid w:val="00CE791A"/>
    <w:rsid w:val="00CE7BA6"/>
    <w:rsid w:val="00CE7F3A"/>
    <w:rsid w:val="00CF02D2"/>
    <w:rsid w:val="00CF08A7"/>
    <w:rsid w:val="00CF0BC7"/>
    <w:rsid w:val="00CF1003"/>
    <w:rsid w:val="00CF19EE"/>
    <w:rsid w:val="00CF1D3F"/>
    <w:rsid w:val="00CF2CE1"/>
    <w:rsid w:val="00CF2E90"/>
    <w:rsid w:val="00CF2EBC"/>
    <w:rsid w:val="00CF2F77"/>
    <w:rsid w:val="00CF31AB"/>
    <w:rsid w:val="00CF31D6"/>
    <w:rsid w:val="00CF3218"/>
    <w:rsid w:val="00CF3231"/>
    <w:rsid w:val="00CF3513"/>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38C3"/>
    <w:rsid w:val="00D1411C"/>
    <w:rsid w:val="00D142B9"/>
    <w:rsid w:val="00D144D9"/>
    <w:rsid w:val="00D144EC"/>
    <w:rsid w:val="00D14558"/>
    <w:rsid w:val="00D14E05"/>
    <w:rsid w:val="00D15616"/>
    <w:rsid w:val="00D156E1"/>
    <w:rsid w:val="00D158FE"/>
    <w:rsid w:val="00D159AD"/>
    <w:rsid w:val="00D15A3C"/>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2B1"/>
    <w:rsid w:val="00D316EE"/>
    <w:rsid w:val="00D31C6D"/>
    <w:rsid w:val="00D31C78"/>
    <w:rsid w:val="00D320C3"/>
    <w:rsid w:val="00D32399"/>
    <w:rsid w:val="00D325F4"/>
    <w:rsid w:val="00D32814"/>
    <w:rsid w:val="00D329A5"/>
    <w:rsid w:val="00D33021"/>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B2A"/>
    <w:rsid w:val="00D65B93"/>
    <w:rsid w:val="00D662E4"/>
    <w:rsid w:val="00D6639B"/>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D7DB4"/>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36C9"/>
    <w:rsid w:val="00DF396D"/>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2F44"/>
    <w:rsid w:val="00E130A4"/>
    <w:rsid w:val="00E13162"/>
    <w:rsid w:val="00E13292"/>
    <w:rsid w:val="00E132E5"/>
    <w:rsid w:val="00E134DE"/>
    <w:rsid w:val="00E13E38"/>
    <w:rsid w:val="00E140B7"/>
    <w:rsid w:val="00E14A58"/>
    <w:rsid w:val="00E14EA9"/>
    <w:rsid w:val="00E1536E"/>
    <w:rsid w:val="00E156F7"/>
    <w:rsid w:val="00E157D2"/>
    <w:rsid w:val="00E15A13"/>
    <w:rsid w:val="00E15B4C"/>
    <w:rsid w:val="00E16512"/>
    <w:rsid w:val="00E16817"/>
    <w:rsid w:val="00E16ABB"/>
    <w:rsid w:val="00E16C55"/>
    <w:rsid w:val="00E16D5D"/>
    <w:rsid w:val="00E16DD1"/>
    <w:rsid w:val="00E178FC"/>
    <w:rsid w:val="00E17B82"/>
    <w:rsid w:val="00E17DC1"/>
    <w:rsid w:val="00E20A0C"/>
    <w:rsid w:val="00E210A4"/>
    <w:rsid w:val="00E2155C"/>
    <w:rsid w:val="00E2162B"/>
    <w:rsid w:val="00E216A2"/>
    <w:rsid w:val="00E2194D"/>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C1E"/>
    <w:rsid w:val="00E46D2D"/>
    <w:rsid w:val="00E476A0"/>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484"/>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6"/>
    <w:rsid w:val="00E63A5A"/>
    <w:rsid w:val="00E642DE"/>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C4D"/>
    <w:rsid w:val="00E84F0E"/>
    <w:rsid w:val="00E84F6A"/>
    <w:rsid w:val="00E84FA0"/>
    <w:rsid w:val="00E85030"/>
    <w:rsid w:val="00E850AE"/>
    <w:rsid w:val="00E85304"/>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9D"/>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EAC"/>
    <w:rsid w:val="00EE7F6D"/>
    <w:rsid w:val="00EF017D"/>
    <w:rsid w:val="00EF0875"/>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998"/>
    <w:rsid w:val="00F07EED"/>
    <w:rsid w:val="00F10070"/>
    <w:rsid w:val="00F1085F"/>
    <w:rsid w:val="00F10DFB"/>
    <w:rsid w:val="00F10EBF"/>
    <w:rsid w:val="00F1195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40027"/>
    <w:rsid w:val="00F4003D"/>
    <w:rsid w:val="00F402FF"/>
    <w:rsid w:val="00F40373"/>
    <w:rsid w:val="00F40454"/>
    <w:rsid w:val="00F40587"/>
    <w:rsid w:val="00F40A96"/>
    <w:rsid w:val="00F40AC8"/>
    <w:rsid w:val="00F40D2F"/>
    <w:rsid w:val="00F411DF"/>
    <w:rsid w:val="00F41755"/>
    <w:rsid w:val="00F41BC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0685"/>
    <w:rsid w:val="00F509A5"/>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4F85"/>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487"/>
    <w:rsid w:val="00F6670D"/>
    <w:rsid w:val="00F66935"/>
    <w:rsid w:val="00F6694E"/>
    <w:rsid w:val="00F66A8A"/>
    <w:rsid w:val="00F66E8D"/>
    <w:rsid w:val="00F6713B"/>
    <w:rsid w:val="00F674DF"/>
    <w:rsid w:val="00F675B9"/>
    <w:rsid w:val="00F679E1"/>
    <w:rsid w:val="00F67D2E"/>
    <w:rsid w:val="00F7003E"/>
    <w:rsid w:val="00F703D1"/>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32A8"/>
    <w:rsid w:val="00F832EE"/>
    <w:rsid w:val="00F8353B"/>
    <w:rsid w:val="00F836C0"/>
    <w:rsid w:val="00F838D2"/>
    <w:rsid w:val="00F8400B"/>
    <w:rsid w:val="00F846CA"/>
    <w:rsid w:val="00F84850"/>
    <w:rsid w:val="00F84B55"/>
    <w:rsid w:val="00F84D8C"/>
    <w:rsid w:val="00F854C3"/>
    <w:rsid w:val="00F857FC"/>
    <w:rsid w:val="00F857FE"/>
    <w:rsid w:val="00F85EAB"/>
    <w:rsid w:val="00F86209"/>
    <w:rsid w:val="00F867C1"/>
    <w:rsid w:val="00F869A4"/>
    <w:rsid w:val="00F86B80"/>
    <w:rsid w:val="00F86C1F"/>
    <w:rsid w:val="00F86D77"/>
    <w:rsid w:val="00F86F38"/>
    <w:rsid w:val="00F86FF8"/>
    <w:rsid w:val="00F871F2"/>
    <w:rsid w:val="00F87409"/>
    <w:rsid w:val="00F87645"/>
    <w:rsid w:val="00F87970"/>
    <w:rsid w:val="00F903A2"/>
    <w:rsid w:val="00F9074C"/>
    <w:rsid w:val="00F90D60"/>
    <w:rsid w:val="00F911DB"/>
    <w:rsid w:val="00F911DF"/>
    <w:rsid w:val="00F9157A"/>
    <w:rsid w:val="00F917B9"/>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AE9"/>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2,h2,DO NOT USE_h2,h21,Head2A,2,UNDERRUBRIK 1-2,H2 Char,h2 Char,Header 2,Header2,22,heading2,2nd level,H21,H22,H23,H24,H25,R2,E2,†berschrift 2,õberschrift 2"/>
    <w:basedOn w:val="1"/>
    <w:next w:val="a"/>
    <w:link w:val="20"/>
    <w:qFormat/>
    <w:rsid w:val="00FD208A"/>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29443289">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4.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A35B9672-3DAB-4633-A1BA-AFD04442C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Pages>
  <Words>1671</Words>
  <Characters>9530</Characters>
  <Application>Microsoft Office Word</Application>
  <DocSecurity>0</DocSecurity>
  <Lines>79</Lines>
  <Paragraphs>22</Paragraphs>
  <ScaleCrop>false</ScaleCrop>
  <Company>OPPO</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99</cp:revision>
  <cp:lastPrinted>2018-04-04T09:40:00Z</cp:lastPrinted>
  <dcterms:created xsi:type="dcterms:W3CDTF">2024-08-02T02:36:00Z</dcterms:created>
  <dcterms:modified xsi:type="dcterms:W3CDTF">2024-08-09T09:56:00Z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